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C646" w14:textId="725C084E" w:rsidR="00DE61BC" w:rsidRPr="00DE61BC" w:rsidRDefault="00DE61BC" w:rsidP="00192CCF">
      <w:pPr>
        <w:ind w:left="360" w:hanging="360"/>
        <w:jc w:val="center"/>
        <w:rPr>
          <w:b/>
          <w:bCs/>
          <w:color w:val="4472C4" w:themeColor="accent1"/>
          <w:sz w:val="40"/>
          <w:szCs w:val="38"/>
        </w:rPr>
      </w:pPr>
      <w:r w:rsidRPr="00DE61BC">
        <w:rPr>
          <w:b/>
          <w:bCs/>
          <w:color w:val="4472C4" w:themeColor="accent1"/>
          <w:sz w:val="40"/>
          <w:szCs w:val="38"/>
        </w:rPr>
        <w:t>Building a Resilient Churia Region in Nepal</w:t>
      </w:r>
    </w:p>
    <w:p w14:paraId="426EA80D" w14:textId="54CD6057" w:rsidR="00DE61BC" w:rsidRDefault="00122D9D" w:rsidP="00122D9D">
      <w:pPr>
        <w:pStyle w:val="Heading2"/>
        <w:tabs>
          <w:tab w:val="left" w:pos="3923"/>
        </w:tabs>
        <w:spacing w:before="120" w:after="120" w:line="288" w:lineRule="auto"/>
        <w:ind w:left="360" w:hanging="360"/>
        <w:rPr>
          <w:rFonts w:ascii="Arial" w:hAnsi="Arial" w:cs="Arial"/>
          <w:b/>
          <w:bCs/>
          <w:color w:val="auto"/>
          <w:sz w:val="22"/>
          <w:szCs w:val="22"/>
        </w:rPr>
      </w:pPr>
      <w:bookmarkStart w:id="0" w:name="_Toc51526816"/>
      <w:bookmarkStart w:id="1" w:name="_Toc51655915"/>
      <w:r>
        <w:rPr>
          <w:rFonts w:ascii="Arial" w:hAnsi="Arial" w:cs="Arial"/>
          <w:b/>
          <w:bCs/>
          <w:color w:val="auto"/>
          <w:sz w:val="22"/>
          <w:szCs w:val="22"/>
        </w:rPr>
        <w:tab/>
      </w:r>
      <w:r>
        <w:rPr>
          <w:rFonts w:ascii="Arial" w:hAnsi="Arial" w:cs="Arial"/>
          <w:b/>
          <w:bCs/>
          <w:color w:val="auto"/>
          <w:sz w:val="22"/>
          <w:szCs w:val="22"/>
        </w:rPr>
        <w:tab/>
      </w:r>
    </w:p>
    <w:p w14:paraId="71B1B9D3" w14:textId="2C9C2A1C" w:rsidR="00DE61BC" w:rsidRPr="002B7C09" w:rsidRDefault="00DE61BC" w:rsidP="00033A73">
      <w:pPr>
        <w:pStyle w:val="Heading2"/>
        <w:spacing w:before="120" w:after="120" w:line="288" w:lineRule="auto"/>
        <w:ind w:left="360" w:hanging="360"/>
        <w:jc w:val="center"/>
        <w:rPr>
          <w:rFonts w:ascii="Arial" w:hAnsi="Arial" w:cs="Arial"/>
          <w:b/>
          <w:bCs/>
          <w:color w:val="00B050"/>
          <w:sz w:val="22"/>
          <w:szCs w:val="22"/>
        </w:rPr>
      </w:pPr>
      <w:r w:rsidRPr="002B7C09">
        <w:rPr>
          <w:rFonts w:ascii="Arial" w:hAnsi="Arial" w:cs="Arial"/>
          <w:b/>
          <w:bCs/>
          <w:color w:val="00B050"/>
          <w:sz w:val="22"/>
          <w:szCs w:val="22"/>
        </w:rPr>
        <w:t>Project summary</w:t>
      </w:r>
      <w:bookmarkEnd w:id="0"/>
      <w:bookmarkEnd w:id="1"/>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5879"/>
      </w:tblGrid>
      <w:tr w:rsidR="00DE61BC" w:rsidRPr="00AD11FA" w14:paraId="39C74A72" w14:textId="77777777" w:rsidTr="002B7C09">
        <w:trPr>
          <w:trHeight w:val="20"/>
          <w:jc w:val="center"/>
        </w:trPr>
        <w:tc>
          <w:tcPr>
            <w:tcW w:w="1759" w:type="pct"/>
            <w:shd w:val="clear" w:color="auto" w:fill="auto"/>
            <w:noWrap/>
            <w:hideMark/>
          </w:tcPr>
          <w:p w14:paraId="43FC9CCE" w14:textId="35EA945B" w:rsidR="00DE61BC" w:rsidRPr="00AD11FA" w:rsidRDefault="00DE61BC" w:rsidP="00122D9D">
            <w:pPr>
              <w:spacing w:before="120" w:after="120" w:line="288" w:lineRule="auto"/>
              <w:contextualSpacing/>
              <w:rPr>
                <w:rFonts w:ascii="Arial" w:hAnsi="Arial" w:cs="Arial"/>
                <w:b/>
                <w:lang w:eastAsia="ja-JP"/>
              </w:rPr>
            </w:pPr>
            <w:r w:rsidRPr="00AD11FA">
              <w:rPr>
                <w:rFonts w:ascii="Arial" w:hAnsi="Arial" w:cs="Arial"/>
                <w:b/>
                <w:lang w:eastAsia="ja-JP"/>
              </w:rPr>
              <w:t>Country</w:t>
            </w:r>
          </w:p>
        </w:tc>
        <w:tc>
          <w:tcPr>
            <w:tcW w:w="3241" w:type="pct"/>
            <w:shd w:val="clear" w:color="auto" w:fill="auto"/>
            <w:noWrap/>
            <w:hideMark/>
          </w:tcPr>
          <w:p w14:paraId="4D1856D0" w14:textId="77777777" w:rsidR="00DE61BC" w:rsidRPr="00AD11FA" w:rsidRDefault="00DE61BC" w:rsidP="00122D9D">
            <w:pPr>
              <w:spacing w:before="120" w:after="120" w:line="288" w:lineRule="auto"/>
              <w:ind w:left="21"/>
              <w:contextualSpacing/>
              <w:jc w:val="both"/>
              <w:rPr>
                <w:rFonts w:ascii="Arial" w:hAnsi="Arial" w:cs="Arial"/>
                <w:lang w:eastAsia="ja-JP"/>
              </w:rPr>
            </w:pPr>
            <w:r w:rsidRPr="00AD11FA">
              <w:rPr>
                <w:rFonts w:ascii="Arial" w:hAnsi="Arial" w:cs="Arial"/>
                <w:lang w:eastAsia="ja-JP"/>
              </w:rPr>
              <w:t>Nepal</w:t>
            </w:r>
          </w:p>
        </w:tc>
      </w:tr>
      <w:tr w:rsidR="00DE61BC" w:rsidRPr="00AD11FA" w14:paraId="3BA477AC" w14:textId="77777777" w:rsidTr="002B7C09">
        <w:trPr>
          <w:trHeight w:val="20"/>
          <w:jc w:val="center"/>
        </w:trPr>
        <w:tc>
          <w:tcPr>
            <w:tcW w:w="1759" w:type="pct"/>
            <w:shd w:val="clear" w:color="auto" w:fill="auto"/>
            <w:noWrap/>
          </w:tcPr>
          <w:p w14:paraId="2D7FCBEF" w14:textId="77777777" w:rsidR="00DE61BC" w:rsidRPr="00AD11FA" w:rsidRDefault="00DE61BC" w:rsidP="00122D9D">
            <w:pPr>
              <w:spacing w:before="120" w:after="120" w:line="288" w:lineRule="auto"/>
              <w:contextualSpacing/>
              <w:rPr>
                <w:rFonts w:ascii="Arial" w:hAnsi="Arial" w:cs="Arial"/>
                <w:b/>
                <w:lang w:eastAsia="ja-JP"/>
              </w:rPr>
            </w:pPr>
            <w:r w:rsidRPr="00AD11FA">
              <w:rPr>
                <w:rFonts w:ascii="Arial" w:hAnsi="Arial" w:cs="Arial"/>
                <w:b/>
                <w:lang w:eastAsia="ja-JP"/>
              </w:rPr>
              <w:t>National Designated Authority</w:t>
            </w:r>
          </w:p>
        </w:tc>
        <w:tc>
          <w:tcPr>
            <w:tcW w:w="3241" w:type="pct"/>
            <w:shd w:val="clear" w:color="auto" w:fill="auto"/>
            <w:noWrap/>
          </w:tcPr>
          <w:p w14:paraId="1ABF6578" w14:textId="77777777" w:rsidR="00DE61BC" w:rsidRPr="00AD11FA" w:rsidRDefault="00DE61BC" w:rsidP="00122D9D">
            <w:pPr>
              <w:spacing w:before="120" w:after="120" w:line="288" w:lineRule="auto"/>
              <w:ind w:left="21"/>
              <w:contextualSpacing/>
              <w:jc w:val="both"/>
              <w:rPr>
                <w:rFonts w:ascii="Arial" w:hAnsi="Arial" w:cs="Arial"/>
                <w:lang w:eastAsia="ja-JP"/>
              </w:rPr>
            </w:pPr>
            <w:r w:rsidRPr="00AD11FA">
              <w:rPr>
                <w:rFonts w:ascii="Arial" w:hAnsi="Arial" w:cs="Arial"/>
                <w:lang w:eastAsia="ja-JP"/>
              </w:rPr>
              <w:t>Ministry of Finance</w:t>
            </w:r>
          </w:p>
        </w:tc>
      </w:tr>
      <w:tr w:rsidR="00DE61BC" w:rsidRPr="00AD11FA" w14:paraId="012DDBD4" w14:textId="77777777" w:rsidTr="002B7C09">
        <w:trPr>
          <w:trHeight w:val="20"/>
          <w:jc w:val="center"/>
        </w:trPr>
        <w:tc>
          <w:tcPr>
            <w:tcW w:w="1759" w:type="pct"/>
            <w:shd w:val="clear" w:color="auto" w:fill="auto"/>
            <w:noWrap/>
            <w:hideMark/>
          </w:tcPr>
          <w:p w14:paraId="2F8FDB79" w14:textId="77777777" w:rsidR="00DE61BC" w:rsidRPr="00AD11FA" w:rsidRDefault="00DE61BC" w:rsidP="00122D9D">
            <w:pPr>
              <w:spacing w:before="120" w:after="120" w:line="288" w:lineRule="auto"/>
              <w:contextualSpacing/>
              <w:rPr>
                <w:rFonts w:ascii="Arial" w:hAnsi="Arial" w:cs="Arial"/>
                <w:b/>
                <w:lang w:eastAsia="ja-JP"/>
              </w:rPr>
            </w:pPr>
            <w:r w:rsidRPr="00AD11FA">
              <w:rPr>
                <w:rFonts w:ascii="Arial" w:hAnsi="Arial" w:cs="Arial"/>
                <w:b/>
                <w:lang w:eastAsia="ja-JP"/>
              </w:rPr>
              <w:t>Project size</w:t>
            </w:r>
          </w:p>
        </w:tc>
        <w:tc>
          <w:tcPr>
            <w:tcW w:w="3241" w:type="pct"/>
            <w:shd w:val="clear" w:color="auto" w:fill="auto"/>
            <w:noWrap/>
          </w:tcPr>
          <w:p w14:paraId="3CE39091" w14:textId="77777777" w:rsidR="00DE61BC" w:rsidRPr="00AD11FA" w:rsidRDefault="00DE61BC" w:rsidP="00122D9D">
            <w:pPr>
              <w:spacing w:before="120" w:after="120" w:line="288" w:lineRule="auto"/>
              <w:ind w:left="21"/>
              <w:contextualSpacing/>
              <w:jc w:val="both"/>
              <w:rPr>
                <w:rFonts w:ascii="Arial" w:hAnsi="Arial" w:cs="Arial"/>
                <w:lang w:eastAsia="ja-JP"/>
              </w:rPr>
            </w:pPr>
            <w:r w:rsidRPr="00AD11FA">
              <w:rPr>
                <w:rFonts w:ascii="Arial" w:hAnsi="Arial" w:cs="Arial"/>
                <w:lang w:eastAsia="ja-JP"/>
              </w:rPr>
              <w:t>US$</w:t>
            </w:r>
            <w:r>
              <w:rPr>
                <w:rFonts w:ascii="Arial" w:hAnsi="Arial" w:cs="Arial"/>
                <w:lang w:eastAsia="ja-JP"/>
              </w:rPr>
              <w:t xml:space="preserve"> </w:t>
            </w:r>
            <w:r w:rsidRPr="00AD11FA">
              <w:rPr>
                <w:rFonts w:ascii="Arial" w:hAnsi="Arial" w:cs="Arial"/>
                <w:lang w:eastAsia="ja-JP"/>
              </w:rPr>
              <w:t>47.43M (US$</w:t>
            </w:r>
            <w:r>
              <w:rPr>
                <w:rFonts w:ascii="Arial" w:hAnsi="Arial" w:cs="Arial"/>
                <w:lang w:eastAsia="ja-JP"/>
              </w:rPr>
              <w:t xml:space="preserve"> </w:t>
            </w:r>
            <w:r w:rsidRPr="00AD11FA">
              <w:rPr>
                <w:rFonts w:ascii="Arial" w:hAnsi="Arial" w:cs="Arial"/>
                <w:lang w:eastAsia="ja-JP"/>
              </w:rPr>
              <w:t xml:space="preserve">39.39M </w:t>
            </w:r>
            <w:r>
              <w:rPr>
                <w:rFonts w:ascii="Arial" w:hAnsi="Arial" w:cs="Arial"/>
                <w:lang w:eastAsia="ja-JP"/>
              </w:rPr>
              <w:t>GCF</w:t>
            </w:r>
            <w:r w:rsidRPr="00AD11FA">
              <w:rPr>
                <w:rFonts w:ascii="Arial" w:hAnsi="Arial" w:cs="Arial"/>
                <w:lang w:eastAsia="ja-JP"/>
              </w:rPr>
              <w:t xml:space="preserve"> grant; US$</w:t>
            </w:r>
            <w:r>
              <w:rPr>
                <w:rFonts w:ascii="Arial" w:hAnsi="Arial" w:cs="Arial"/>
                <w:lang w:eastAsia="ja-JP"/>
              </w:rPr>
              <w:t xml:space="preserve"> </w:t>
            </w:r>
            <w:r w:rsidRPr="00AD11FA">
              <w:rPr>
                <w:rFonts w:ascii="Arial" w:hAnsi="Arial" w:cs="Arial"/>
                <w:lang w:eastAsia="ja-JP"/>
              </w:rPr>
              <w:t>8.04M co-financing)</w:t>
            </w:r>
          </w:p>
        </w:tc>
      </w:tr>
      <w:tr w:rsidR="00DE61BC" w:rsidRPr="002D73B6" w14:paraId="40D1861F" w14:textId="77777777" w:rsidTr="002B7C09">
        <w:trPr>
          <w:trHeight w:val="20"/>
          <w:jc w:val="center"/>
        </w:trPr>
        <w:tc>
          <w:tcPr>
            <w:tcW w:w="1759" w:type="pct"/>
            <w:shd w:val="clear" w:color="auto" w:fill="auto"/>
            <w:noWrap/>
          </w:tcPr>
          <w:p w14:paraId="5756FCA0" w14:textId="77777777" w:rsidR="00DE61BC" w:rsidRPr="00AD11FA" w:rsidRDefault="00DE61BC" w:rsidP="00122D9D">
            <w:pPr>
              <w:spacing w:before="120" w:after="120" w:line="288" w:lineRule="auto"/>
              <w:contextualSpacing/>
              <w:rPr>
                <w:rFonts w:ascii="Arial" w:hAnsi="Arial" w:cs="Arial"/>
                <w:b/>
                <w:lang w:eastAsia="ja-JP"/>
              </w:rPr>
            </w:pPr>
            <w:r w:rsidRPr="00AD11FA">
              <w:rPr>
                <w:rFonts w:ascii="Arial" w:hAnsi="Arial" w:cs="Arial"/>
                <w:b/>
                <w:lang w:eastAsia="ja-JP"/>
              </w:rPr>
              <w:t>Co-financiers</w:t>
            </w:r>
          </w:p>
        </w:tc>
        <w:tc>
          <w:tcPr>
            <w:tcW w:w="3241" w:type="pct"/>
            <w:shd w:val="clear" w:color="auto" w:fill="auto"/>
            <w:noWrap/>
          </w:tcPr>
          <w:p w14:paraId="3F267133" w14:textId="77777777" w:rsidR="00DE61BC" w:rsidRPr="002D73B6" w:rsidRDefault="00DE61BC" w:rsidP="00122D9D">
            <w:pPr>
              <w:spacing w:before="120" w:after="120" w:line="288" w:lineRule="auto"/>
              <w:ind w:left="21"/>
              <w:contextualSpacing/>
              <w:jc w:val="both"/>
              <w:rPr>
                <w:rFonts w:ascii="Arial" w:hAnsi="Arial" w:cs="Arial"/>
                <w:lang w:eastAsia="ja-JP"/>
              </w:rPr>
            </w:pPr>
            <w:r w:rsidRPr="00AD11FA">
              <w:rPr>
                <w:rFonts w:ascii="Arial" w:hAnsi="Arial" w:cs="Arial"/>
                <w:lang w:eastAsia="ja-JP"/>
              </w:rPr>
              <w:t>Ministry of Forests and Environment (</w:t>
            </w:r>
            <w:proofErr w:type="spellStart"/>
            <w:r w:rsidRPr="00AD11FA">
              <w:rPr>
                <w:rFonts w:ascii="Arial" w:hAnsi="Arial" w:cs="Arial"/>
                <w:lang w:eastAsia="ja-JP"/>
              </w:rPr>
              <w:t>MoFE</w:t>
            </w:r>
            <w:proofErr w:type="spellEnd"/>
            <w:r w:rsidRPr="00AD11FA">
              <w:rPr>
                <w:rFonts w:ascii="Arial" w:hAnsi="Arial" w:cs="Arial"/>
                <w:lang w:eastAsia="ja-JP"/>
              </w:rPr>
              <w:t>)</w:t>
            </w:r>
          </w:p>
        </w:tc>
      </w:tr>
      <w:tr w:rsidR="00DE61BC" w:rsidRPr="002D73B6" w14:paraId="2EC2763E" w14:textId="77777777" w:rsidTr="002B7C09">
        <w:trPr>
          <w:trHeight w:val="20"/>
          <w:jc w:val="center"/>
        </w:trPr>
        <w:tc>
          <w:tcPr>
            <w:tcW w:w="1759" w:type="pct"/>
            <w:shd w:val="clear" w:color="auto" w:fill="auto"/>
            <w:noWrap/>
          </w:tcPr>
          <w:p w14:paraId="41132FE0" w14:textId="77777777" w:rsidR="00DE61BC" w:rsidRPr="002D73B6" w:rsidRDefault="00DE61BC" w:rsidP="00122D9D">
            <w:pPr>
              <w:spacing w:before="120" w:after="120" w:line="288" w:lineRule="auto"/>
              <w:contextualSpacing/>
              <w:rPr>
                <w:rFonts w:ascii="Arial" w:hAnsi="Arial" w:cs="Arial"/>
                <w:b/>
                <w:lang w:eastAsia="ja-JP"/>
              </w:rPr>
            </w:pPr>
            <w:r w:rsidRPr="002D73B6">
              <w:rPr>
                <w:rFonts w:ascii="Arial" w:hAnsi="Arial" w:cs="Arial"/>
                <w:b/>
                <w:lang w:eastAsia="ja-JP"/>
              </w:rPr>
              <w:t>Project duration</w:t>
            </w:r>
          </w:p>
        </w:tc>
        <w:tc>
          <w:tcPr>
            <w:tcW w:w="3241" w:type="pct"/>
            <w:shd w:val="clear" w:color="auto" w:fill="auto"/>
            <w:noWrap/>
          </w:tcPr>
          <w:p w14:paraId="18206B56" w14:textId="77777777" w:rsidR="00DE61BC" w:rsidRPr="002D73B6" w:rsidRDefault="00DE61BC" w:rsidP="00122D9D">
            <w:pPr>
              <w:spacing w:before="120" w:after="120" w:line="288" w:lineRule="auto"/>
              <w:ind w:left="21"/>
              <w:contextualSpacing/>
              <w:jc w:val="both"/>
              <w:rPr>
                <w:rFonts w:ascii="Arial" w:hAnsi="Arial" w:cs="Arial"/>
                <w:lang w:eastAsia="ja-JP"/>
              </w:rPr>
            </w:pPr>
            <w:r>
              <w:rPr>
                <w:rFonts w:ascii="Arial" w:hAnsi="Arial" w:cs="Arial"/>
                <w:lang w:eastAsia="ja-JP"/>
              </w:rPr>
              <w:t>7</w:t>
            </w:r>
            <w:r w:rsidRPr="002D73B6">
              <w:rPr>
                <w:rFonts w:ascii="Arial" w:hAnsi="Arial" w:cs="Arial"/>
                <w:lang w:eastAsia="ja-JP"/>
              </w:rPr>
              <w:t xml:space="preserve"> years</w:t>
            </w:r>
          </w:p>
        </w:tc>
      </w:tr>
      <w:tr w:rsidR="00DE61BC" w:rsidRPr="002D73B6" w14:paraId="69AF799C" w14:textId="77777777" w:rsidTr="002B7C09">
        <w:trPr>
          <w:trHeight w:val="20"/>
          <w:jc w:val="center"/>
        </w:trPr>
        <w:tc>
          <w:tcPr>
            <w:tcW w:w="1759" w:type="pct"/>
            <w:shd w:val="clear" w:color="auto" w:fill="auto"/>
            <w:noWrap/>
            <w:hideMark/>
          </w:tcPr>
          <w:p w14:paraId="753F049B" w14:textId="77777777" w:rsidR="00DE61BC" w:rsidRPr="002D73B6" w:rsidRDefault="00DE61BC" w:rsidP="00122D9D">
            <w:pPr>
              <w:spacing w:before="120" w:after="120" w:line="288" w:lineRule="auto"/>
              <w:contextualSpacing/>
              <w:rPr>
                <w:rFonts w:ascii="Arial" w:hAnsi="Arial" w:cs="Arial"/>
                <w:b/>
                <w:lang w:eastAsia="ja-JP"/>
              </w:rPr>
            </w:pPr>
            <w:r w:rsidRPr="002D73B6">
              <w:rPr>
                <w:rFonts w:ascii="Arial" w:hAnsi="Arial" w:cs="Arial"/>
                <w:b/>
                <w:lang w:eastAsia="ja-JP"/>
              </w:rPr>
              <w:t>Mitigation / adaptation focus</w:t>
            </w:r>
          </w:p>
        </w:tc>
        <w:tc>
          <w:tcPr>
            <w:tcW w:w="3241" w:type="pct"/>
            <w:shd w:val="clear" w:color="auto" w:fill="auto"/>
            <w:noWrap/>
            <w:hideMark/>
          </w:tcPr>
          <w:p w14:paraId="0DA0B795" w14:textId="4C14534E" w:rsidR="00DE61BC" w:rsidRPr="002D73B6" w:rsidRDefault="003006BA" w:rsidP="00122D9D">
            <w:pPr>
              <w:spacing w:before="120" w:after="120" w:line="288" w:lineRule="auto"/>
              <w:ind w:left="21"/>
              <w:contextualSpacing/>
              <w:jc w:val="both"/>
              <w:rPr>
                <w:rFonts w:ascii="Arial" w:hAnsi="Arial" w:cs="Arial"/>
                <w:lang w:eastAsia="ja-JP"/>
              </w:rPr>
            </w:pPr>
            <w:r w:rsidRPr="002D73B6">
              <w:rPr>
                <w:rFonts w:ascii="Segoe UI Symbol" w:hAnsi="Segoe UI Symbol" w:cs="Segoe UI Symbol"/>
                <w:lang w:eastAsia="ja-JP"/>
              </w:rPr>
              <w:t>☐</w:t>
            </w:r>
            <w:r w:rsidRPr="002D73B6">
              <w:rPr>
                <w:rFonts w:ascii="Arial" w:hAnsi="Arial" w:cs="Arial"/>
                <w:lang w:eastAsia="ja-JP"/>
              </w:rPr>
              <w:t xml:space="preserve"> Mitigation</w:t>
            </w:r>
            <w:r w:rsidR="00DE61BC" w:rsidRPr="002D73B6">
              <w:rPr>
                <w:rFonts w:ascii="Arial" w:hAnsi="Arial" w:cs="Arial"/>
                <w:lang w:eastAsia="ja-JP"/>
              </w:rPr>
              <w:tab/>
            </w:r>
            <w:r w:rsidRPr="002D73B6">
              <w:rPr>
                <w:rFonts w:ascii="Segoe UI Symbol" w:hAnsi="Segoe UI Symbol" w:cs="Segoe UI Symbol"/>
                <w:lang w:eastAsia="ja-JP"/>
              </w:rPr>
              <w:t>☐</w:t>
            </w:r>
            <w:r w:rsidRPr="002D73B6">
              <w:rPr>
                <w:rFonts w:ascii="Arial" w:hAnsi="Arial" w:cs="Arial"/>
                <w:lang w:eastAsia="ja-JP"/>
              </w:rPr>
              <w:t xml:space="preserve"> Adaptation</w:t>
            </w:r>
            <w:r w:rsidR="00DE61BC" w:rsidRPr="002D73B6">
              <w:rPr>
                <w:rFonts w:ascii="Arial" w:hAnsi="Arial" w:cs="Arial"/>
                <w:lang w:eastAsia="ja-JP"/>
              </w:rPr>
              <w:tab/>
            </w:r>
            <w:r w:rsidRPr="002D73B6">
              <w:rPr>
                <w:rFonts w:ascii="Segoe UI Symbol" w:hAnsi="Segoe UI Symbol" w:cs="Segoe UI Symbol"/>
                <w:lang w:eastAsia="ja-JP"/>
              </w:rPr>
              <w:t>☒</w:t>
            </w:r>
            <w:r w:rsidRPr="002D73B6">
              <w:rPr>
                <w:rFonts w:ascii="Arial" w:hAnsi="Arial" w:cs="Arial"/>
                <w:lang w:eastAsia="ja-JP"/>
              </w:rPr>
              <w:t xml:space="preserve"> Cross</w:t>
            </w:r>
            <w:r w:rsidR="00DE61BC" w:rsidRPr="002D73B6">
              <w:rPr>
                <w:rFonts w:ascii="Arial" w:hAnsi="Arial" w:cs="Arial"/>
                <w:lang w:eastAsia="ja-JP"/>
              </w:rPr>
              <w:t>-cutting</w:t>
            </w:r>
          </w:p>
        </w:tc>
      </w:tr>
      <w:tr w:rsidR="00DE61BC" w:rsidRPr="002D73B6" w14:paraId="13A557F7" w14:textId="77777777" w:rsidTr="002B7C09">
        <w:trPr>
          <w:trHeight w:val="20"/>
          <w:jc w:val="center"/>
        </w:trPr>
        <w:tc>
          <w:tcPr>
            <w:tcW w:w="1759" w:type="pct"/>
            <w:shd w:val="clear" w:color="auto" w:fill="auto"/>
            <w:noWrap/>
          </w:tcPr>
          <w:p w14:paraId="0BD95581" w14:textId="77777777" w:rsidR="00DE61BC" w:rsidRPr="002D73B6" w:rsidRDefault="00DE61BC" w:rsidP="00122D9D">
            <w:pPr>
              <w:spacing w:before="120" w:after="120" w:line="288" w:lineRule="auto"/>
              <w:contextualSpacing/>
              <w:rPr>
                <w:rFonts w:ascii="Arial" w:hAnsi="Arial" w:cs="Arial"/>
                <w:b/>
                <w:lang w:eastAsia="ja-JP"/>
              </w:rPr>
            </w:pPr>
            <w:r w:rsidRPr="002D73B6">
              <w:rPr>
                <w:rFonts w:ascii="Arial" w:hAnsi="Arial" w:cs="Arial"/>
                <w:b/>
                <w:lang w:eastAsia="ja-JP"/>
              </w:rPr>
              <w:t>GCF Results areas</w:t>
            </w:r>
          </w:p>
        </w:tc>
        <w:tc>
          <w:tcPr>
            <w:tcW w:w="3241" w:type="pct"/>
            <w:shd w:val="clear" w:color="auto" w:fill="auto"/>
            <w:noWrap/>
          </w:tcPr>
          <w:p w14:paraId="2BB1E4B2" w14:textId="034A3E47" w:rsidR="00DE61BC" w:rsidRPr="002D73B6" w:rsidRDefault="00DE61BC" w:rsidP="003006BA">
            <w:pPr>
              <w:spacing w:before="120" w:after="120" w:line="288" w:lineRule="auto"/>
              <w:ind w:left="21"/>
              <w:contextualSpacing/>
              <w:rPr>
                <w:rFonts w:ascii="Arial" w:hAnsi="Arial" w:cs="Arial"/>
                <w:lang w:eastAsia="ja-JP"/>
              </w:rPr>
            </w:pPr>
            <w:r w:rsidRPr="002D73B6">
              <w:rPr>
                <w:rFonts w:ascii="Arial" w:hAnsi="Arial" w:cs="Arial"/>
                <w:lang w:eastAsia="ja-JP"/>
              </w:rPr>
              <w:t>Reduced emissions from Forestry and land use;</w:t>
            </w:r>
          </w:p>
          <w:p w14:paraId="629F484B" w14:textId="77777777" w:rsidR="00DE61BC" w:rsidRPr="002D73B6" w:rsidRDefault="00DE61BC" w:rsidP="003006BA">
            <w:pPr>
              <w:spacing w:before="120" w:after="120" w:line="288" w:lineRule="auto"/>
              <w:ind w:left="21"/>
              <w:contextualSpacing/>
              <w:rPr>
                <w:rFonts w:ascii="Arial" w:hAnsi="Arial" w:cs="Arial"/>
                <w:lang w:eastAsia="ja-JP"/>
              </w:rPr>
            </w:pPr>
            <w:r w:rsidRPr="002D73B6">
              <w:rPr>
                <w:rFonts w:ascii="Arial" w:hAnsi="Arial" w:cs="Arial"/>
                <w:lang w:eastAsia="ja-JP"/>
              </w:rPr>
              <w:t>Increased resilience of Ecosystem and ecosystem services</w:t>
            </w:r>
          </w:p>
        </w:tc>
      </w:tr>
    </w:tbl>
    <w:p w14:paraId="201880EF" w14:textId="77777777" w:rsidR="00122D9D" w:rsidRDefault="00122D9D" w:rsidP="002B7C09">
      <w:pPr>
        <w:tabs>
          <w:tab w:val="left" w:pos="0"/>
        </w:tabs>
        <w:spacing w:before="120" w:after="120" w:line="288" w:lineRule="auto"/>
        <w:rPr>
          <w:rFonts w:ascii="Arial" w:hAnsi="Arial" w:cs="Arial"/>
          <w:b/>
          <w:bCs/>
          <w:color w:val="00B050"/>
          <w:szCs w:val="22"/>
        </w:rPr>
      </w:pPr>
    </w:p>
    <w:p w14:paraId="2E68477B" w14:textId="65F5C1CB" w:rsidR="002B7C09" w:rsidRPr="002B7C09" w:rsidRDefault="002B7C09" w:rsidP="00033A73">
      <w:pPr>
        <w:tabs>
          <w:tab w:val="left" w:pos="0"/>
        </w:tabs>
        <w:spacing w:before="120" w:after="120" w:line="288" w:lineRule="auto"/>
        <w:jc w:val="center"/>
        <w:rPr>
          <w:rFonts w:ascii="Arial" w:hAnsi="Arial" w:cs="Arial"/>
          <w:b/>
          <w:bCs/>
          <w:color w:val="00B050"/>
          <w:szCs w:val="22"/>
        </w:rPr>
      </w:pPr>
      <w:r w:rsidRPr="002B7C09">
        <w:rPr>
          <w:rFonts w:ascii="Arial" w:hAnsi="Arial" w:cs="Arial"/>
          <w:b/>
          <w:bCs/>
          <w:color w:val="00B050"/>
          <w:szCs w:val="22"/>
        </w:rPr>
        <w:t>Objective</w:t>
      </w:r>
    </w:p>
    <w:p w14:paraId="3CF5F82A" w14:textId="0D097F00" w:rsidR="00DE61BC" w:rsidRPr="002B7C09" w:rsidRDefault="00DE61BC" w:rsidP="002B7C09">
      <w:pPr>
        <w:tabs>
          <w:tab w:val="left" w:pos="0"/>
        </w:tabs>
        <w:spacing w:before="120" w:after="120" w:line="288" w:lineRule="auto"/>
        <w:rPr>
          <w:rFonts w:ascii="Arial" w:hAnsi="Arial" w:cs="Arial"/>
          <w:szCs w:val="22"/>
        </w:rPr>
      </w:pPr>
      <w:r w:rsidRPr="002B7C09">
        <w:rPr>
          <w:rFonts w:ascii="Arial" w:hAnsi="Arial" w:cs="Arial"/>
          <w:szCs w:val="22"/>
        </w:rPr>
        <w:t>The project objective is to enhance the climate resilience of ecosystems and vulnerable communities in Nepal´s Churia region through integrated sustainable natural resource management (SNRM) approaches.</w:t>
      </w:r>
    </w:p>
    <w:p w14:paraId="378B026F" w14:textId="77777777" w:rsidR="002B7C09" w:rsidRDefault="002B7C09" w:rsidP="002B7C09">
      <w:pPr>
        <w:spacing w:before="120" w:after="120" w:line="288" w:lineRule="auto"/>
        <w:ind w:left="360" w:hanging="360"/>
        <w:rPr>
          <w:rFonts w:ascii="Arial" w:hAnsi="Arial" w:cs="Arial"/>
          <w:b/>
          <w:bCs/>
          <w:color w:val="00B050"/>
          <w:lang w:eastAsia="ja-JP"/>
        </w:rPr>
      </w:pPr>
    </w:p>
    <w:p w14:paraId="1EC3F2EC" w14:textId="3D45A2BB" w:rsidR="002B7C09" w:rsidRPr="002B7C09" w:rsidRDefault="002B7C09" w:rsidP="00033A73">
      <w:pPr>
        <w:spacing w:before="120" w:after="120" w:line="288" w:lineRule="auto"/>
        <w:ind w:left="360" w:hanging="360"/>
        <w:jc w:val="center"/>
        <w:rPr>
          <w:rFonts w:ascii="Arial" w:hAnsi="Arial" w:cs="Arial"/>
          <w:b/>
          <w:bCs/>
          <w:lang w:eastAsia="ja-JP"/>
        </w:rPr>
      </w:pPr>
      <w:r w:rsidRPr="002B7C09">
        <w:rPr>
          <w:rFonts w:ascii="Arial" w:hAnsi="Arial" w:cs="Arial"/>
          <w:b/>
          <w:bCs/>
          <w:color w:val="00B050"/>
          <w:lang w:eastAsia="ja-JP"/>
        </w:rPr>
        <w:t>Components</w:t>
      </w:r>
    </w:p>
    <w:p w14:paraId="433E494F" w14:textId="17151499" w:rsidR="00DE61BC" w:rsidRPr="002D73B6" w:rsidRDefault="00DE61BC" w:rsidP="002B7C09">
      <w:pPr>
        <w:spacing w:before="120" w:after="120" w:line="288" w:lineRule="auto"/>
        <w:ind w:left="360" w:hanging="360"/>
        <w:rPr>
          <w:rFonts w:ascii="Arial" w:hAnsi="Arial" w:cs="Arial"/>
          <w:lang w:eastAsia="ja-JP"/>
        </w:rPr>
      </w:pPr>
      <w:r w:rsidRPr="002D73B6">
        <w:rPr>
          <w:rFonts w:ascii="Arial" w:hAnsi="Arial" w:cs="Arial"/>
          <w:lang w:eastAsia="ja-JP"/>
        </w:rPr>
        <w:t>The project objective will be achieved through the following Components:</w:t>
      </w:r>
    </w:p>
    <w:p w14:paraId="478F44AC" w14:textId="77777777" w:rsidR="00DE61BC" w:rsidRPr="002D73B6" w:rsidRDefault="00DE61BC" w:rsidP="002B7C09">
      <w:pPr>
        <w:numPr>
          <w:ilvl w:val="0"/>
          <w:numId w:val="1"/>
        </w:numPr>
        <w:spacing w:before="120" w:after="120" w:line="288" w:lineRule="auto"/>
        <w:ind w:left="360"/>
        <w:contextualSpacing/>
        <w:rPr>
          <w:rFonts w:ascii="Arial" w:hAnsi="Arial" w:cs="Arial"/>
          <w:lang w:eastAsia="ja-JP"/>
        </w:rPr>
      </w:pPr>
      <w:r w:rsidRPr="001711E2">
        <w:rPr>
          <w:rFonts w:ascii="Arial" w:hAnsi="Arial" w:cs="Arial"/>
          <w:b/>
          <w:bCs/>
          <w:lang w:eastAsia="ja-JP"/>
        </w:rPr>
        <w:t>Component 1</w:t>
      </w:r>
      <w:r w:rsidRPr="002D73B6">
        <w:rPr>
          <w:rFonts w:ascii="Arial" w:hAnsi="Arial" w:cs="Arial"/>
          <w:lang w:eastAsia="ja-JP"/>
        </w:rPr>
        <w:t>: Scaling up climate-resilient Sustainable Natural Resource Management (SNRM).</w:t>
      </w:r>
    </w:p>
    <w:p w14:paraId="5E4A66AE" w14:textId="77777777" w:rsidR="00DE61BC" w:rsidRPr="002D73B6" w:rsidRDefault="00DE61BC" w:rsidP="002B7C09">
      <w:pPr>
        <w:numPr>
          <w:ilvl w:val="0"/>
          <w:numId w:val="1"/>
        </w:numPr>
        <w:spacing w:before="120" w:after="120" w:line="288" w:lineRule="auto"/>
        <w:ind w:left="360"/>
        <w:contextualSpacing/>
        <w:rPr>
          <w:rFonts w:ascii="Arial" w:hAnsi="Arial" w:cs="Arial"/>
          <w:lang w:eastAsia="ja-JP"/>
        </w:rPr>
      </w:pPr>
      <w:r w:rsidRPr="001711E2">
        <w:rPr>
          <w:rFonts w:ascii="Arial" w:hAnsi="Arial" w:cs="Arial"/>
          <w:b/>
          <w:bCs/>
          <w:lang w:eastAsia="ja-JP"/>
        </w:rPr>
        <w:t>Component 2:</w:t>
      </w:r>
      <w:r w:rsidRPr="002D73B6">
        <w:rPr>
          <w:rFonts w:ascii="Arial" w:hAnsi="Arial" w:cs="Arial"/>
          <w:lang w:eastAsia="ja-JP"/>
        </w:rPr>
        <w:t xml:space="preserve"> Strengthening institutions and planning for climate-resilient SNRM.</w:t>
      </w:r>
    </w:p>
    <w:p w14:paraId="67520623" w14:textId="6AE91ABD" w:rsidR="00DE61BC" w:rsidRDefault="00DE61BC" w:rsidP="002B7C09">
      <w:pPr>
        <w:numPr>
          <w:ilvl w:val="0"/>
          <w:numId w:val="1"/>
        </w:numPr>
        <w:spacing w:before="120" w:after="120" w:line="288" w:lineRule="auto"/>
        <w:ind w:left="360"/>
        <w:contextualSpacing/>
        <w:rPr>
          <w:rFonts w:ascii="Arial" w:hAnsi="Arial" w:cs="Arial"/>
          <w:lang w:eastAsia="ja-JP"/>
        </w:rPr>
      </w:pPr>
      <w:r w:rsidRPr="001711E2">
        <w:rPr>
          <w:rFonts w:ascii="Arial" w:hAnsi="Arial" w:cs="Arial"/>
          <w:b/>
          <w:bCs/>
          <w:lang w:eastAsia="ja-JP"/>
        </w:rPr>
        <w:t>Component 3</w:t>
      </w:r>
      <w:r w:rsidRPr="002D73B6">
        <w:rPr>
          <w:rFonts w:ascii="Arial" w:hAnsi="Arial" w:cs="Arial"/>
          <w:lang w:eastAsia="ja-JP"/>
        </w:rPr>
        <w:t>: Improving knowledge, awareness and local capacity for climate-resilient SNRM.</w:t>
      </w:r>
    </w:p>
    <w:p w14:paraId="0BB3AA44" w14:textId="0697B1DF" w:rsidR="002B7C09" w:rsidRDefault="002B7C09" w:rsidP="002B7C09">
      <w:pPr>
        <w:spacing w:before="120" w:after="120" w:line="288" w:lineRule="auto"/>
        <w:contextualSpacing/>
        <w:rPr>
          <w:rFonts w:ascii="Arial" w:hAnsi="Arial" w:cs="Arial"/>
          <w:lang w:eastAsia="ja-JP"/>
        </w:rPr>
      </w:pPr>
    </w:p>
    <w:p w14:paraId="4EE42174" w14:textId="77777777" w:rsidR="002B7C09" w:rsidRPr="002B7C09" w:rsidRDefault="002B7C09" w:rsidP="00033A73">
      <w:pPr>
        <w:pStyle w:val="Heading2"/>
        <w:spacing w:before="120" w:after="120" w:line="288" w:lineRule="auto"/>
        <w:ind w:left="360" w:hanging="360"/>
        <w:jc w:val="center"/>
        <w:rPr>
          <w:rFonts w:ascii="Arial" w:hAnsi="Arial" w:cs="Arial"/>
          <w:b/>
          <w:bCs/>
          <w:color w:val="00B050"/>
          <w:sz w:val="22"/>
          <w:szCs w:val="22"/>
        </w:rPr>
      </w:pPr>
      <w:r w:rsidRPr="002B7C09">
        <w:rPr>
          <w:rFonts w:ascii="Arial" w:hAnsi="Arial" w:cs="Arial"/>
          <w:b/>
          <w:bCs/>
          <w:color w:val="00B050"/>
          <w:sz w:val="22"/>
          <w:szCs w:val="22"/>
        </w:rPr>
        <w:t>Project intervention area</w:t>
      </w:r>
    </w:p>
    <w:p w14:paraId="50C26041" w14:textId="247C0359" w:rsidR="00DE61BC" w:rsidRPr="002B7C09" w:rsidRDefault="002B7C09" w:rsidP="002B7C09">
      <w:pPr>
        <w:tabs>
          <w:tab w:val="left" w:pos="0"/>
        </w:tabs>
        <w:spacing w:before="120" w:after="120" w:line="288" w:lineRule="auto"/>
        <w:rPr>
          <w:rFonts w:ascii="Arial" w:hAnsi="Arial" w:cs="Arial"/>
          <w:szCs w:val="22"/>
        </w:rPr>
      </w:pPr>
      <w:r>
        <w:rPr>
          <w:rFonts w:ascii="Arial" w:hAnsi="Arial" w:cs="Arial"/>
          <w:szCs w:val="22"/>
        </w:rPr>
        <w:t>The p</w:t>
      </w:r>
      <w:r w:rsidR="00DE61BC" w:rsidRPr="002B7C09">
        <w:rPr>
          <w:rFonts w:ascii="Arial" w:hAnsi="Arial" w:cs="Arial"/>
          <w:szCs w:val="22"/>
        </w:rPr>
        <w:t>roject activities will focus in the Central and Eastern Churia-Terai Region, where 26 vulnerable river systems were identified through a multi-criteria risk analysis together with the vulnerability assessment conducted for the project.</w:t>
      </w:r>
    </w:p>
    <w:p w14:paraId="0D042E0B" w14:textId="6F2FD42F" w:rsidR="002B7C09" w:rsidRDefault="002B7C09" w:rsidP="002B7C09">
      <w:pPr>
        <w:pStyle w:val="ListParagraph"/>
        <w:tabs>
          <w:tab w:val="left" w:pos="0"/>
        </w:tabs>
        <w:spacing w:before="120" w:after="120" w:line="288" w:lineRule="auto"/>
        <w:ind w:left="360"/>
        <w:contextualSpacing w:val="0"/>
        <w:rPr>
          <w:rFonts w:ascii="Arial" w:hAnsi="Arial" w:cs="Arial"/>
          <w:sz w:val="22"/>
          <w:szCs w:val="22"/>
        </w:rPr>
      </w:pPr>
    </w:p>
    <w:p w14:paraId="07C1DCD7" w14:textId="77777777" w:rsidR="002B7C09" w:rsidRPr="001711E2" w:rsidRDefault="002B7C09" w:rsidP="002B7C09">
      <w:pPr>
        <w:pStyle w:val="ListParagraph"/>
        <w:numPr>
          <w:ilvl w:val="0"/>
          <w:numId w:val="2"/>
        </w:numPr>
        <w:tabs>
          <w:tab w:val="left" w:pos="0"/>
        </w:tabs>
        <w:spacing w:before="120" w:after="120" w:line="288" w:lineRule="auto"/>
        <w:ind w:left="360"/>
        <w:contextualSpacing w:val="0"/>
        <w:rPr>
          <w:rFonts w:ascii="Arial" w:hAnsi="Arial" w:cs="Arial"/>
          <w:sz w:val="22"/>
          <w:szCs w:val="22"/>
        </w:rPr>
      </w:pPr>
      <w:r w:rsidRPr="001711E2">
        <w:rPr>
          <w:rFonts w:ascii="Arial" w:hAnsi="Arial" w:cs="Arial"/>
          <w:sz w:val="22"/>
          <w:szCs w:val="22"/>
        </w:rPr>
        <w:lastRenderedPageBreak/>
        <w:t xml:space="preserve">The Churia hills are located between the mid hill areas to the north and the plains in the south of Nepal (Terai), where the Churia hills perform critical ecological and socio-cultural functions both upstream and downstream. With more than 50% of its area under forests and riverine areas, the Churia hills render hydrological services such as regulating surface water flows and ground water recharging. All major river systems in Nepal pass through the Churia hills before reaching the densely populated alluvial plains in the Terai and northern India. The landscape extended over the Dun, Hills, </w:t>
      </w:r>
      <w:proofErr w:type="spellStart"/>
      <w:r w:rsidRPr="001711E2">
        <w:rPr>
          <w:rFonts w:ascii="Arial" w:hAnsi="Arial" w:cs="Arial"/>
          <w:sz w:val="22"/>
          <w:szCs w:val="22"/>
        </w:rPr>
        <w:t>Bhavar</w:t>
      </w:r>
      <w:proofErr w:type="spellEnd"/>
      <w:r w:rsidRPr="001711E2">
        <w:rPr>
          <w:rFonts w:ascii="Arial" w:hAnsi="Arial" w:cs="Arial"/>
          <w:sz w:val="22"/>
          <w:szCs w:val="22"/>
        </w:rPr>
        <w:t xml:space="preserve">, and Terai is known as </w:t>
      </w:r>
      <w:r>
        <w:rPr>
          <w:rFonts w:ascii="Arial" w:hAnsi="Arial" w:cs="Arial"/>
          <w:sz w:val="22"/>
          <w:szCs w:val="22"/>
        </w:rPr>
        <w:t xml:space="preserve">the </w:t>
      </w:r>
      <w:r w:rsidRPr="001711E2">
        <w:rPr>
          <w:rFonts w:ascii="Arial" w:hAnsi="Arial" w:cs="Arial"/>
          <w:sz w:val="22"/>
          <w:szCs w:val="22"/>
        </w:rPr>
        <w:t>Churia region.</w:t>
      </w:r>
    </w:p>
    <w:p w14:paraId="18EBF907" w14:textId="7B77FB0C" w:rsidR="002B7C09" w:rsidRDefault="002B7C09" w:rsidP="00C9716F">
      <w:pPr>
        <w:pStyle w:val="ListParagraph"/>
        <w:numPr>
          <w:ilvl w:val="0"/>
          <w:numId w:val="2"/>
        </w:numPr>
        <w:tabs>
          <w:tab w:val="left" w:pos="0"/>
        </w:tabs>
        <w:spacing w:before="120" w:after="120" w:line="288" w:lineRule="auto"/>
        <w:ind w:left="360"/>
        <w:contextualSpacing w:val="0"/>
        <w:rPr>
          <w:rFonts w:ascii="Arial" w:hAnsi="Arial" w:cs="Arial"/>
          <w:sz w:val="22"/>
          <w:szCs w:val="22"/>
        </w:rPr>
      </w:pPr>
      <w:r w:rsidRPr="002B7C09">
        <w:rPr>
          <w:rFonts w:ascii="Arial" w:hAnsi="Arial" w:cs="Arial"/>
          <w:sz w:val="22"/>
          <w:szCs w:val="22"/>
        </w:rPr>
        <w:t xml:space="preserve">Men and women living in the Churia region are highly dependent on natural resources to maintain their livelihoods. Agriculture and Forests are essential resources to engage active population in economic activities. Agriculture alone contributes more than 60% to the economy of the region. Forest resources are important for ecological goods and services; such as timber, fuelwood, non-timber forest products (NTFPs) and cultural services. To ensure food, water and energy security for households in the Churia region, there is a need for well-managed forests to maintain a healthy ecosystem. However, the entire region is vulnerable due to fragile soils, high vulnerability to flash flooding and frequently changing watercourses. </w:t>
      </w:r>
    </w:p>
    <w:p w14:paraId="56BEA8DD" w14:textId="77777777" w:rsidR="00DE61BC" w:rsidRPr="009A7FB0" w:rsidRDefault="00DE61BC" w:rsidP="002B7C09">
      <w:pPr>
        <w:pStyle w:val="ListParagraph"/>
        <w:numPr>
          <w:ilvl w:val="0"/>
          <w:numId w:val="2"/>
        </w:numPr>
        <w:tabs>
          <w:tab w:val="left" w:pos="0"/>
        </w:tabs>
        <w:spacing w:before="120" w:after="120" w:line="288" w:lineRule="auto"/>
        <w:ind w:left="360"/>
        <w:contextualSpacing w:val="0"/>
        <w:rPr>
          <w:rFonts w:ascii="Arial" w:hAnsi="Arial" w:cs="Arial"/>
          <w:sz w:val="22"/>
          <w:szCs w:val="22"/>
        </w:rPr>
      </w:pPr>
      <w:r w:rsidRPr="009A7FB0">
        <w:rPr>
          <w:rFonts w:ascii="Arial" w:hAnsi="Arial" w:cs="Arial"/>
          <w:sz w:val="22"/>
          <w:szCs w:val="22"/>
        </w:rPr>
        <w:t xml:space="preserve">Through the ‘Building a Resilient Churia Region in Nepal’ (BRCRN) project, </w:t>
      </w:r>
      <w:r>
        <w:rPr>
          <w:rFonts w:ascii="Arial" w:hAnsi="Arial" w:cs="Arial"/>
          <w:sz w:val="22"/>
          <w:szCs w:val="22"/>
        </w:rPr>
        <w:t xml:space="preserve">the </w:t>
      </w:r>
      <w:r w:rsidRPr="009A7FB0">
        <w:rPr>
          <w:rFonts w:ascii="Arial" w:hAnsi="Arial" w:cs="Arial"/>
          <w:sz w:val="22"/>
          <w:szCs w:val="22"/>
        </w:rPr>
        <w:t xml:space="preserve">GCF grant financing and co-financing provided by </w:t>
      </w:r>
      <w:r>
        <w:rPr>
          <w:rFonts w:ascii="Arial" w:hAnsi="Arial" w:cs="Arial"/>
          <w:sz w:val="22"/>
          <w:szCs w:val="22"/>
        </w:rPr>
        <w:t xml:space="preserve">the </w:t>
      </w:r>
      <w:proofErr w:type="spellStart"/>
      <w:r w:rsidRPr="009A7FB0">
        <w:rPr>
          <w:rFonts w:ascii="Arial" w:hAnsi="Arial" w:cs="Arial"/>
          <w:sz w:val="22"/>
          <w:szCs w:val="22"/>
        </w:rPr>
        <w:t>MoFE</w:t>
      </w:r>
      <w:proofErr w:type="spellEnd"/>
      <w:r w:rsidRPr="009A7FB0">
        <w:rPr>
          <w:rFonts w:ascii="Arial" w:hAnsi="Arial" w:cs="Arial"/>
          <w:sz w:val="22"/>
          <w:szCs w:val="22"/>
        </w:rPr>
        <w:t xml:space="preserve"> will strengthen the resilience of local communities and ecosystems to adapt to climate change, and reduce emissions from deforestation and forest degradation. The project will address the specific barriers inhibiting Churia communities, government entities and other stakeholders from transitioning to a more climate-resilient, sustainable and low-emissions development pathway, and will equip them to continue pursuing this pathway.</w:t>
      </w:r>
    </w:p>
    <w:p w14:paraId="6B6101EC" w14:textId="77777777" w:rsidR="00DE61BC" w:rsidRPr="009A7FB0" w:rsidRDefault="00DE61BC" w:rsidP="002B7C09">
      <w:pPr>
        <w:pStyle w:val="ListParagraph"/>
        <w:numPr>
          <w:ilvl w:val="0"/>
          <w:numId w:val="2"/>
        </w:numPr>
        <w:tabs>
          <w:tab w:val="left" w:pos="0"/>
        </w:tabs>
        <w:spacing w:before="120" w:after="120" w:line="288" w:lineRule="auto"/>
        <w:ind w:left="360"/>
        <w:contextualSpacing w:val="0"/>
        <w:rPr>
          <w:rFonts w:ascii="Arial" w:hAnsi="Arial" w:cs="Arial"/>
          <w:sz w:val="22"/>
          <w:szCs w:val="22"/>
        </w:rPr>
      </w:pPr>
      <w:r>
        <w:rPr>
          <w:rFonts w:ascii="Arial" w:hAnsi="Arial" w:cs="Arial"/>
          <w:sz w:val="22"/>
          <w:szCs w:val="22"/>
        </w:rPr>
        <w:t xml:space="preserve">The </w:t>
      </w:r>
      <w:r w:rsidRPr="009A7FB0">
        <w:rPr>
          <w:rFonts w:ascii="Arial" w:hAnsi="Arial" w:cs="Arial"/>
          <w:sz w:val="22"/>
          <w:szCs w:val="22"/>
        </w:rPr>
        <w:t xml:space="preserve">BRCRN project aims to confront these challenges by enhancing the resilience of ecosystems and vulnerable communities in Nepal’s Churia region. It will promote widespread adoption of climate-resilient land use practices, confront the challenges of deforestation and forest degradation and better maintain the forest ecosystem in the Churia hills, and build resilience to climate-induced hazards. </w:t>
      </w:r>
    </w:p>
    <w:p w14:paraId="03939A32" w14:textId="77777777" w:rsidR="00DE61BC" w:rsidRPr="009A7FB0" w:rsidRDefault="00DE61BC" w:rsidP="002B7C09">
      <w:pPr>
        <w:pStyle w:val="ListParagraph"/>
        <w:numPr>
          <w:ilvl w:val="0"/>
          <w:numId w:val="2"/>
        </w:numPr>
        <w:tabs>
          <w:tab w:val="left" w:pos="0"/>
        </w:tabs>
        <w:spacing w:before="120" w:after="120" w:line="288" w:lineRule="auto"/>
        <w:ind w:left="360"/>
        <w:contextualSpacing w:val="0"/>
        <w:rPr>
          <w:rFonts w:ascii="Arial" w:hAnsi="Arial" w:cs="Arial"/>
          <w:sz w:val="22"/>
          <w:szCs w:val="22"/>
        </w:rPr>
      </w:pPr>
      <w:r w:rsidRPr="009A7FB0">
        <w:rPr>
          <w:rFonts w:ascii="Arial" w:hAnsi="Arial" w:cs="Arial"/>
          <w:sz w:val="22"/>
          <w:szCs w:val="22"/>
        </w:rPr>
        <w:t xml:space="preserve">It will also build the capacities of governments, communities and other stakeholders to better understand and respond to climate change risks in the future, and scale up much needed support sustainably. </w:t>
      </w:r>
    </w:p>
    <w:p w14:paraId="508F3386" w14:textId="77777777" w:rsidR="00DE61BC" w:rsidRPr="009A7FB0" w:rsidRDefault="00DE61BC" w:rsidP="002B7C09">
      <w:pPr>
        <w:pStyle w:val="ListParagraph"/>
        <w:numPr>
          <w:ilvl w:val="0"/>
          <w:numId w:val="2"/>
        </w:numPr>
        <w:tabs>
          <w:tab w:val="left" w:pos="0"/>
        </w:tabs>
        <w:spacing w:before="120" w:after="120" w:line="288" w:lineRule="auto"/>
        <w:ind w:left="360"/>
        <w:contextualSpacing w:val="0"/>
        <w:rPr>
          <w:rFonts w:ascii="Arial" w:hAnsi="Arial" w:cs="Arial"/>
          <w:sz w:val="22"/>
          <w:szCs w:val="22"/>
        </w:rPr>
      </w:pPr>
      <w:r w:rsidRPr="009A7FB0">
        <w:rPr>
          <w:rFonts w:ascii="Arial" w:hAnsi="Arial" w:cs="Arial"/>
          <w:sz w:val="22"/>
          <w:szCs w:val="22"/>
        </w:rPr>
        <w:t>The project is conceived as a direct contribution to Nepal´s nationally determined contribution (NDC). It aims to set in motion a sectoral transformation from a climate-vulnerable to a climate-resilient, lower-emissions and sustainable development pathway for the Churia</w:t>
      </w:r>
      <w:r>
        <w:rPr>
          <w:rFonts w:ascii="Arial" w:hAnsi="Arial" w:cs="Arial"/>
          <w:sz w:val="22"/>
          <w:szCs w:val="22"/>
        </w:rPr>
        <w:t xml:space="preserve"> </w:t>
      </w:r>
      <w:r w:rsidRPr="009A7FB0">
        <w:rPr>
          <w:rFonts w:ascii="Arial" w:hAnsi="Arial" w:cs="Arial"/>
          <w:sz w:val="22"/>
          <w:szCs w:val="22"/>
        </w:rPr>
        <w:t>region, and equip government and other key stakeholders to continue driving this process of transformation well into the future.</w:t>
      </w:r>
    </w:p>
    <w:p w14:paraId="20B880D6" w14:textId="77777777" w:rsidR="00DE61BC" w:rsidRPr="009A7FB0" w:rsidRDefault="00DE61BC" w:rsidP="002B7C09">
      <w:pPr>
        <w:pStyle w:val="ListParagraph"/>
        <w:numPr>
          <w:ilvl w:val="0"/>
          <w:numId w:val="2"/>
        </w:numPr>
        <w:tabs>
          <w:tab w:val="left" w:pos="0"/>
        </w:tabs>
        <w:spacing w:before="120" w:after="120" w:line="288" w:lineRule="auto"/>
        <w:ind w:left="360"/>
        <w:contextualSpacing w:val="0"/>
        <w:rPr>
          <w:rFonts w:ascii="Arial" w:hAnsi="Arial" w:cs="Arial"/>
          <w:sz w:val="22"/>
          <w:szCs w:val="22"/>
        </w:rPr>
      </w:pPr>
      <w:r>
        <w:rPr>
          <w:rFonts w:ascii="Arial" w:hAnsi="Arial" w:cs="Arial"/>
          <w:sz w:val="22"/>
          <w:szCs w:val="22"/>
        </w:rPr>
        <w:t xml:space="preserve">The </w:t>
      </w:r>
      <w:r w:rsidRPr="009A7FB0">
        <w:rPr>
          <w:rFonts w:ascii="Arial" w:hAnsi="Arial" w:cs="Arial"/>
          <w:sz w:val="22"/>
          <w:szCs w:val="22"/>
        </w:rPr>
        <w:t xml:space="preserve">GCF support will be instrumental for enhancing the climate resilience of ecosystems and vulnerable communities in Nepal’s Churia region through integrated climate-resilient SNRM approaches. Nepal´s NDC discusses the country´s strategy and commitments to </w:t>
      </w:r>
      <w:r w:rsidRPr="009A7FB0">
        <w:rPr>
          <w:rFonts w:ascii="Arial" w:hAnsi="Arial" w:cs="Arial"/>
          <w:sz w:val="22"/>
          <w:szCs w:val="22"/>
        </w:rPr>
        <w:lastRenderedPageBreak/>
        <w:t xml:space="preserve">climate change, yet notes the need for additional technical and financial support to fully implement its NDC.  </w:t>
      </w:r>
    </w:p>
    <w:p w14:paraId="61334D75" w14:textId="77777777" w:rsidR="00DE61BC" w:rsidRPr="009A7FB0" w:rsidRDefault="00DE61BC" w:rsidP="002B7C09">
      <w:pPr>
        <w:pStyle w:val="ListParagraph"/>
        <w:numPr>
          <w:ilvl w:val="0"/>
          <w:numId w:val="2"/>
        </w:numPr>
        <w:tabs>
          <w:tab w:val="left" w:pos="0"/>
        </w:tabs>
        <w:spacing w:before="120" w:after="120" w:line="288" w:lineRule="auto"/>
        <w:ind w:left="360"/>
        <w:contextualSpacing w:val="0"/>
        <w:rPr>
          <w:rFonts w:ascii="Arial" w:hAnsi="Arial" w:cs="Arial"/>
          <w:sz w:val="22"/>
          <w:szCs w:val="22"/>
        </w:rPr>
      </w:pPr>
      <w:r w:rsidRPr="009A7FB0">
        <w:rPr>
          <w:rFonts w:ascii="Arial" w:hAnsi="Arial" w:cs="Arial"/>
          <w:sz w:val="22"/>
          <w:szCs w:val="22"/>
        </w:rPr>
        <w:t xml:space="preserve">The project will have an impact on </w:t>
      </w:r>
      <w:r>
        <w:rPr>
          <w:rFonts w:ascii="Arial" w:hAnsi="Arial" w:cs="Arial"/>
          <w:sz w:val="22"/>
          <w:szCs w:val="22"/>
        </w:rPr>
        <w:t>Greenhouse Gas (</w:t>
      </w:r>
      <w:r w:rsidRPr="009A7FB0">
        <w:rPr>
          <w:rFonts w:ascii="Arial" w:hAnsi="Arial" w:cs="Arial"/>
          <w:sz w:val="22"/>
          <w:szCs w:val="22"/>
        </w:rPr>
        <w:t>GHG</w:t>
      </w:r>
      <w:r>
        <w:rPr>
          <w:rFonts w:ascii="Arial" w:hAnsi="Arial" w:cs="Arial"/>
          <w:sz w:val="22"/>
          <w:szCs w:val="22"/>
        </w:rPr>
        <w:t>)</w:t>
      </w:r>
      <w:r w:rsidRPr="009A7FB0">
        <w:rPr>
          <w:rFonts w:ascii="Arial" w:hAnsi="Arial" w:cs="Arial"/>
          <w:sz w:val="22"/>
          <w:szCs w:val="22"/>
        </w:rPr>
        <w:t xml:space="preserve"> emissions from the </w:t>
      </w:r>
      <w:r>
        <w:rPr>
          <w:rFonts w:ascii="Arial" w:hAnsi="Arial" w:cs="Arial"/>
          <w:sz w:val="22"/>
          <w:szCs w:val="22"/>
        </w:rPr>
        <w:t>Agriculture Forests and Other Land Use (</w:t>
      </w:r>
      <w:r w:rsidRPr="009A7FB0">
        <w:rPr>
          <w:rFonts w:ascii="Arial" w:hAnsi="Arial" w:cs="Arial"/>
          <w:sz w:val="22"/>
          <w:szCs w:val="22"/>
        </w:rPr>
        <w:t>AFOLU</w:t>
      </w:r>
      <w:r>
        <w:rPr>
          <w:rFonts w:ascii="Arial" w:hAnsi="Arial" w:cs="Arial"/>
          <w:sz w:val="22"/>
          <w:szCs w:val="22"/>
        </w:rPr>
        <w:t>)</w:t>
      </w:r>
      <w:r w:rsidRPr="009A7FB0">
        <w:rPr>
          <w:rFonts w:ascii="Arial" w:hAnsi="Arial" w:cs="Arial"/>
          <w:sz w:val="22"/>
          <w:szCs w:val="22"/>
        </w:rPr>
        <w:t xml:space="preserve"> sector in Nepal. Assuming an 80 percent adoption rate, the project will therefore deliver average annual emissions reductions of 574,180 tCO</w:t>
      </w:r>
      <w:r w:rsidRPr="00A41D43">
        <w:rPr>
          <w:rFonts w:ascii="Arial" w:hAnsi="Arial" w:cs="Arial"/>
          <w:sz w:val="22"/>
          <w:szCs w:val="22"/>
          <w:vertAlign w:val="subscript"/>
        </w:rPr>
        <w:t>2</w:t>
      </w:r>
      <w:r w:rsidRPr="009A7FB0">
        <w:rPr>
          <w:rFonts w:ascii="Arial" w:hAnsi="Arial" w:cs="Arial"/>
          <w:sz w:val="22"/>
          <w:szCs w:val="22"/>
        </w:rPr>
        <w:t>eq, which is equivalent to about 11.48 million tCO</w:t>
      </w:r>
      <w:r w:rsidRPr="00A96A57">
        <w:rPr>
          <w:rFonts w:ascii="Arial" w:hAnsi="Arial" w:cs="Arial"/>
          <w:sz w:val="22"/>
          <w:szCs w:val="22"/>
          <w:vertAlign w:val="subscript"/>
        </w:rPr>
        <w:t>2</w:t>
      </w:r>
      <w:r w:rsidRPr="009A7FB0">
        <w:rPr>
          <w:rFonts w:ascii="Arial" w:hAnsi="Arial" w:cs="Arial"/>
          <w:sz w:val="22"/>
          <w:szCs w:val="22"/>
        </w:rPr>
        <w:t>eq over the 20-year</w:t>
      </w:r>
      <w:r>
        <w:rPr>
          <w:rFonts w:ascii="Arial" w:hAnsi="Arial" w:cs="Arial"/>
          <w:sz w:val="22"/>
          <w:szCs w:val="22"/>
        </w:rPr>
        <w:t xml:space="preserve"> period</w:t>
      </w:r>
      <w:r w:rsidRPr="009A7FB0">
        <w:rPr>
          <w:rFonts w:ascii="Arial" w:hAnsi="Arial" w:cs="Arial"/>
          <w:sz w:val="22"/>
          <w:szCs w:val="22"/>
        </w:rPr>
        <w:t>.</w:t>
      </w:r>
    </w:p>
    <w:p w14:paraId="082F78CB" w14:textId="77777777" w:rsidR="00DE61BC" w:rsidRPr="009A7FB0" w:rsidRDefault="00DE61BC" w:rsidP="002B7C09">
      <w:pPr>
        <w:pStyle w:val="ListParagraph"/>
        <w:numPr>
          <w:ilvl w:val="0"/>
          <w:numId w:val="2"/>
        </w:numPr>
        <w:tabs>
          <w:tab w:val="left" w:pos="0"/>
        </w:tabs>
        <w:spacing w:before="120" w:after="120" w:line="288" w:lineRule="auto"/>
        <w:ind w:left="360"/>
        <w:contextualSpacing w:val="0"/>
        <w:rPr>
          <w:rFonts w:ascii="Arial" w:hAnsi="Arial" w:cs="Arial"/>
          <w:sz w:val="22"/>
          <w:szCs w:val="22"/>
        </w:rPr>
      </w:pPr>
      <w:r w:rsidRPr="009A7FB0">
        <w:rPr>
          <w:rFonts w:ascii="Arial" w:hAnsi="Arial" w:cs="Arial"/>
          <w:sz w:val="22"/>
          <w:szCs w:val="22"/>
        </w:rPr>
        <w:t>At least 200,681 households with approx. 963,268 people will directly benefit from the project. At least 50% of beneficiaries will consist of women with proportional representation of indigenous peoples (31%), Dalits (13%) and other marginalized groups. In total 3,216,248 people will indirectly and directly benefit from the project.</w:t>
      </w:r>
    </w:p>
    <w:p w14:paraId="2039BDD1" w14:textId="77777777" w:rsidR="00DE61BC" w:rsidRPr="002D73B6" w:rsidRDefault="00DE61BC" w:rsidP="002B7C09">
      <w:pPr>
        <w:spacing w:before="120" w:after="120" w:line="288" w:lineRule="auto"/>
        <w:ind w:left="360" w:hanging="360"/>
        <w:rPr>
          <w:rFonts w:ascii="Arial" w:hAnsi="Arial" w:cs="Arial"/>
        </w:rPr>
      </w:pPr>
      <w:r w:rsidRPr="002D73B6">
        <w:rPr>
          <w:rFonts w:ascii="Arial" w:hAnsi="Arial" w:cs="Arial"/>
        </w:rPr>
        <w:t xml:space="preserve">The approved Funding Proposal and relevant documents are available online: </w:t>
      </w:r>
    </w:p>
    <w:p w14:paraId="6233CBFF" w14:textId="77777777" w:rsidR="00DE61BC" w:rsidRPr="002D73B6" w:rsidRDefault="0060175C" w:rsidP="002B7C09">
      <w:pPr>
        <w:spacing w:before="120" w:after="120" w:line="288" w:lineRule="auto"/>
        <w:ind w:left="360" w:hanging="360"/>
        <w:rPr>
          <w:rFonts w:ascii="Arial" w:hAnsi="Arial" w:cs="Arial"/>
        </w:rPr>
      </w:pPr>
      <w:hyperlink r:id="rId7" w:history="1">
        <w:r w:rsidR="00DE61BC" w:rsidRPr="002D73B6">
          <w:rPr>
            <w:rStyle w:val="Hyperlink"/>
            <w:rFonts w:ascii="Arial" w:hAnsi="Arial" w:cs="Arial"/>
          </w:rPr>
          <w:t>https://www.greenclimate.fund/project/fp118</w:t>
        </w:r>
      </w:hyperlink>
    </w:p>
    <w:p w14:paraId="591A3D63" w14:textId="77777777" w:rsidR="00DE61BC" w:rsidRDefault="00DE61BC" w:rsidP="002B7C09">
      <w:pPr>
        <w:tabs>
          <w:tab w:val="left" w:pos="0"/>
        </w:tabs>
        <w:spacing w:before="120" w:after="120" w:line="288" w:lineRule="auto"/>
        <w:ind w:left="360" w:hanging="360"/>
        <w:rPr>
          <w:rFonts w:ascii="Arial" w:hAnsi="Arial" w:cs="Arial"/>
        </w:rPr>
      </w:pPr>
    </w:p>
    <w:p w14:paraId="5EB1F55A" w14:textId="77777777" w:rsidR="00DE61BC" w:rsidRPr="002D73B6" w:rsidRDefault="00DE61BC" w:rsidP="002B7C09">
      <w:pPr>
        <w:pStyle w:val="Caption"/>
        <w:spacing w:before="120" w:after="120" w:line="288" w:lineRule="auto"/>
        <w:ind w:left="360" w:hanging="360"/>
        <w:rPr>
          <w:rFonts w:ascii="Arial" w:hAnsi="Arial" w:cs="Arial"/>
          <w:color w:val="auto"/>
          <w:sz w:val="22"/>
          <w:szCs w:val="22"/>
        </w:rPr>
      </w:pPr>
      <w:bookmarkStart w:id="2" w:name="_Toc51607980"/>
      <w:r w:rsidRPr="002D73B6">
        <w:rPr>
          <w:rFonts w:ascii="Arial" w:hAnsi="Arial" w:cs="Arial"/>
          <w:color w:val="auto"/>
          <w:sz w:val="22"/>
          <w:szCs w:val="22"/>
        </w:rPr>
        <w:t xml:space="preserve">Table </w:t>
      </w:r>
      <w:r w:rsidRPr="002D73B6">
        <w:rPr>
          <w:rFonts w:ascii="Arial" w:hAnsi="Arial" w:cs="Arial"/>
          <w:color w:val="auto"/>
          <w:sz w:val="22"/>
          <w:szCs w:val="22"/>
        </w:rPr>
        <w:fldChar w:fldCharType="begin"/>
      </w:r>
      <w:r w:rsidRPr="002D73B6">
        <w:rPr>
          <w:rFonts w:ascii="Arial" w:hAnsi="Arial" w:cs="Arial"/>
          <w:color w:val="auto"/>
          <w:sz w:val="22"/>
          <w:szCs w:val="22"/>
        </w:rPr>
        <w:instrText xml:space="preserve"> SEQ Table \* ARABIC </w:instrText>
      </w:r>
      <w:r w:rsidRPr="002D73B6">
        <w:rPr>
          <w:rFonts w:ascii="Arial" w:hAnsi="Arial" w:cs="Arial"/>
          <w:color w:val="auto"/>
          <w:sz w:val="22"/>
          <w:szCs w:val="22"/>
        </w:rPr>
        <w:fldChar w:fldCharType="separate"/>
      </w:r>
      <w:r>
        <w:rPr>
          <w:rFonts w:ascii="Arial" w:hAnsi="Arial" w:cs="Arial"/>
          <w:noProof/>
          <w:color w:val="auto"/>
          <w:sz w:val="22"/>
          <w:szCs w:val="22"/>
        </w:rPr>
        <w:t>1</w:t>
      </w:r>
      <w:r w:rsidRPr="002D73B6">
        <w:rPr>
          <w:rFonts w:ascii="Arial" w:hAnsi="Arial" w:cs="Arial"/>
          <w:color w:val="auto"/>
          <w:sz w:val="22"/>
          <w:szCs w:val="22"/>
        </w:rPr>
        <w:fldChar w:fldCharType="end"/>
      </w:r>
      <w:r>
        <w:rPr>
          <w:rFonts w:ascii="Arial" w:hAnsi="Arial" w:cs="Arial"/>
          <w:color w:val="auto"/>
          <w:sz w:val="22"/>
          <w:szCs w:val="22"/>
          <w:lang w:val="en-US"/>
        </w:rPr>
        <w:t xml:space="preserve">: </w:t>
      </w:r>
      <w:r w:rsidRPr="002D73B6">
        <w:rPr>
          <w:rFonts w:ascii="Arial" w:hAnsi="Arial" w:cs="Arial"/>
          <w:color w:val="auto"/>
          <w:sz w:val="22"/>
          <w:szCs w:val="22"/>
        </w:rPr>
        <w:t>Intervention area selection Criteria</w:t>
      </w:r>
      <w:r>
        <w:rPr>
          <w:rFonts w:ascii="Arial" w:hAnsi="Arial" w:cs="Arial"/>
          <w:color w:val="auto"/>
          <w:sz w:val="22"/>
          <w:szCs w:val="22"/>
        </w:rPr>
        <w:t xml:space="preserve"> and</w:t>
      </w:r>
      <w:r w:rsidRPr="002D73B6">
        <w:rPr>
          <w:rFonts w:ascii="Arial" w:hAnsi="Arial" w:cs="Arial"/>
          <w:color w:val="auto"/>
          <w:sz w:val="22"/>
          <w:szCs w:val="22"/>
        </w:rPr>
        <w:t xml:space="preserve"> Process</w:t>
      </w:r>
      <w:bookmarkEnd w:id="2"/>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290"/>
      </w:tblGrid>
      <w:tr w:rsidR="00DE61BC" w:rsidRPr="002D73B6" w14:paraId="6364C507" w14:textId="77777777" w:rsidTr="001711E2">
        <w:trPr>
          <w:jc w:val="center"/>
        </w:trPr>
        <w:tc>
          <w:tcPr>
            <w:tcW w:w="2335" w:type="dxa"/>
            <w:shd w:val="clear" w:color="auto" w:fill="1F3864"/>
          </w:tcPr>
          <w:p w14:paraId="6C1E573B" w14:textId="77777777" w:rsidR="00DE61BC" w:rsidRPr="002D73B6" w:rsidRDefault="00DE61BC" w:rsidP="002B7C09">
            <w:pPr>
              <w:spacing w:before="120" w:after="120" w:line="288" w:lineRule="auto"/>
              <w:ind w:left="360" w:hanging="360"/>
              <w:rPr>
                <w:rFonts w:ascii="Arial" w:hAnsi="Arial" w:cs="Arial"/>
                <w:b/>
                <w:iCs/>
                <w:lang w:eastAsia="ja-JP"/>
              </w:rPr>
            </w:pPr>
            <w:r w:rsidRPr="002D73B6">
              <w:rPr>
                <w:rFonts w:ascii="Arial" w:hAnsi="Arial" w:cs="Arial"/>
                <w:b/>
                <w:iCs/>
                <w:lang w:eastAsia="ja-JP"/>
              </w:rPr>
              <w:t>Intervention Area</w:t>
            </w:r>
          </w:p>
        </w:tc>
        <w:tc>
          <w:tcPr>
            <w:tcW w:w="7290" w:type="dxa"/>
            <w:shd w:val="clear" w:color="auto" w:fill="1F3864"/>
          </w:tcPr>
          <w:p w14:paraId="630574F5" w14:textId="77777777" w:rsidR="00DE61BC" w:rsidRPr="002D73B6" w:rsidRDefault="00DE61BC" w:rsidP="002B7C09">
            <w:pPr>
              <w:spacing w:before="120" w:after="120" w:line="288" w:lineRule="auto"/>
              <w:ind w:left="360" w:hanging="360"/>
              <w:rPr>
                <w:rFonts w:ascii="Arial" w:hAnsi="Arial" w:cs="Arial"/>
                <w:b/>
                <w:iCs/>
                <w:lang w:eastAsia="ja-JP"/>
              </w:rPr>
            </w:pPr>
            <w:r w:rsidRPr="002D73B6">
              <w:rPr>
                <w:rFonts w:ascii="Arial" w:hAnsi="Arial" w:cs="Arial"/>
                <w:b/>
                <w:iCs/>
                <w:lang w:eastAsia="ja-JP"/>
              </w:rPr>
              <w:t>Criteria / process</w:t>
            </w:r>
          </w:p>
        </w:tc>
      </w:tr>
      <w:tr w:rsidR="00DE61BC" w:rsidRPr="002D73B6" w14:paraId="6AD92F9D" w14:textId="77777777" w:rsidTr="001711E2">
        <w:trPr>
          <w:jc w:val="center"/>
        </w:trPr>
        <w:tc>
          <w:tcPr>
            <w:tcW w:w="2335" w:type="dxa"/>
          </w:tcPr>
          <w:p w14:paraId="2BE77835" w14:textId="77777777" w:rsidR="00DE61BC" w:rsidRPr="002D73B6" w:rsidRDefault="00DE61BC" w:rsidP="002B7C09">
            <w:pPr>
              <w:spacing w:before="120" w:after="120" w:line="288" w:lineRule="auto"/>
              <w:ind w:left="360" w:hanging="360"/>
              <w:rPr>
                <w:rFonts w:ascii="Arial" w:hAnsi="Arial" w:cs="Arial"/>
                <w:iCs/>
                <w:lang w:eastAsia="ja-JP"/>
              </w:rPr>
            </w:pPr>
            <w:r w:rsidRPr="002D73B6">
              <w:rPr>
                <w:rFonts w:ascii="Arial" w:hAnsi="Arial" w:cs="Arial"/>
                <w:iCs/>
                <w:lang w:eastAsia="ja-JP"/>
              </w:rPr>
              <w:t>Provinces</w:t>
            </w:r>
          </w:p>
        </w:tc>
        <w:tc>
          <w:tcPr>
            <w:tcW w:w="7290" w:type="dxa"/>
          </w:tcPr>
          <w:p w14:paraId="69FB5AD9" w14:textId="77777777" w:rsidR="00DE61BC" w:rsidRPr="002D73B6" w:rsidRDefault="00DE61BC" w:rsidP="00B014A8">
            <w:pPr>
              <w:spacing w:before="120" w:after="120" w:line="288" w:lineRule="auto"/>
              <w:ind w:left="-16" w:firstLine="16"/>
              <w:rPr>
                <w:rFonts w:ascii="Arial" w:hAnsi="Arial" w:cs="Arial"/>
                <w:iCs/>
                <w:lang w:eastAsia="ja-JP"/>
              </w:rPr>
            </w:pPr>
            <w:r w:rsidRPr="002D73B6">
              <w:rPr>
                <w:rFonts w:ascii="Arial" w:hAnsi="Arial" w:cs="Arial"/>
                <w:iCs/>
                <w:lang w:eastAsia="ja-JP"/>
              </w:rPr>
              <w:t xml:space="preserve">Among the </w:t>
            </w:r>
            <w:r>
              <w:rPr>
                <w:rFonts w:ascii="Arial" w:hAnsi="Arial" w:cs="Arial"/>
                <w:iCs/>
                <w:lang w:eastAsia="ja-JP"/>
              </w:rPr>
              <w:t xml:space="preserve">7 </w:t>
            </w:r>
            <w:r w:rsidRPr="002D73B6">
              <w:rPr>
                <w:rFonts w:ascii="Arial" w:hAnsi="Arial" w:cs="Arial"/>
                <w:iCs/>
                <w:lang w:eastAsia="ja-JP"/>
              </w:rPr>
              <w:t xml:space="preserve">Provinces in Nepal, Provinces 1, 2 and </w:t>
            </w:r>
            <w:r>
              <w:rPr>
                <w:rFonts w:ascii="Arial" w:hAnsi="Arial" w:cs="Arial"/>
                <w:iCs/>
                <w:lang w:eastAsia="ja-JP"/>
              </w:rPr>
              <w:t>Bagmati</w:t>
            </w:r>
            <w:r w:rsidRPr="002D73B6">
              <w:rPr>
                <w:rFonts w:ascii="Arial" w:hAnsi="Arial" w:cs="Arial"/>
                <w:iCs/>
                <w:lang w:eastAsia="ja-JP"/>
              </w:rPr>
              <w:t xml:space="preserve"> were selected during the project design stage as the overall geographic focus for this project. The selection of these three Provinces was based on the assessment of </w:t>
            </w:r>
            <w:r w:rsidRPr="002D73B6">
              <w:rPr>
                <w:rFonts w:ascii="Arial" w:hAnsi="Arial" w:cs="Arial"/>
              </w:rPr>
              <w:t>Collective Vulnerability in the Eastern Himalayas (ICIMOD,</w:t>
            </w:r>
            <w:r>
              <w:rPr>
                <w:rFonts w:ascii="Arial" w:hAnsi="Arial" w:cs="Arial"/>
              </w:rPr>
              <w:t xml:space="preserve"> </w:t>
            </w:r>
            <w:r w:rsidRPr="002D73B6">
              <w:rPr>
                <w:rFonts w:ascii="Arial" w:hAnsi="Arial" w:cs="Arial"/>
              </w:rPr>
              <w:t>2009), i.e., vulnerability integrated across different components of mountain ecosystems and dimensions and relative vulnerability of biodiversity, water, ecosystems, and human wellbeing to climate change impacts.</w:t>
            </w:r>
          </w:p>
        </w:tc>
      </w:tr>
      <w:tr w:rsidR="00DE61BC" w:rsidRPr="002D73B6" w14:paraId="05A15979" w14:textId="77777777" w:rsidTr="001711E2">
        <w:trPr>
          <w:jc w:val="center"/>
        </w:trPr>
        <w:tc>
          <w:tcPr>
            <w:tcW w:w="2335" w:type="dxa"/>
          </w:tcPr>
          <w:p w14:paraId="290492BF" w14:textId="77777777" w:rsidR="00DE61BC" w:rsidRDefault="00DE61BC" w:rsidP="002B7C09">
            <w:pPr>
              <w:spacing w:before="120" w:after="120" w:line="288" w:lineRule="auto"/>
              <w:ind w:left="360" w:hanging="360"/>
              <w:rPr>
                <w:rFonts w:ascii="Arial" w:hAnsi="Arial" w:cs="Arial"/>
                <w:iCs/>
                <w:color w:val="2E74B5"/>
                <w:lang w:eastAsia="ja-JP"/>
              </w:rPr>
            </w:pPr>
            <w:r w:rsidRPr="002D73B6">
              <w:rPr>
                <w:rFonts w:ascii="Arial" w:hAnsi="Arial" w:cs="Arial"/>
                <w:iCs/>
                <w:lang w:eastAsia="ja-JP"/>
              </w:rPr>
              <w:t>Targeted 26 River systems</w:t>
            </w:r>
          </w:p>
        </w:tc>
        <w:tc>
          <w:tcPr>
            <w:tcW w:w="7290" w:type="dxa"/>
          </w:tcPr>
          <w:p w14:paraId="2F7E74D7" w14:textId="77777777" w:rsidR="00DE61BC" w:rsidRPr="002D73B6" w:rsidRDefault="00DE61BC" w:rsidP="00B014A8">
            <w:pPr>
              <w:spacing w:before="120" w:after="120" w:line="288" w:lineRule="auto"/>
              <w:ind w:left="-16" w:firstLine="16"/>
              <w:rPr>
                <w:rFonts w:ascii="Arial" w:hAnsi="Arial" w:cs="Arial"/>
                <w:iCs/>
                <w:lang w:eastAsia="ja-JP"/>
              </w:rPr>
            </w:pPr>
            <w:r w:rsidRPr="002D73B6">
              <w:rPr>
                <w:rFonts w:ascii="Arial" w:hAnsi="Arial" w:cs="Arial"/>
                <w:iCs/>
                <w:lang w:eastAsia="ja-JP"/>
              </w:rPr>
              <w:t xml:space="preserve">Due to the inter-connected (upstream and downstream) nature </w:t>
            </w:r>
            <w:proofErr w:type="gramStart"/>
            <w:r w:rsidRPr="002D73B6">
              <w:rPr>
                <w:rFonts w:ascii="Arial" w:hAnsi="Arial" w:cs="Arial"/>
                <w:iCs/>
                <w:lang w:eastAsia="ja-JP"/>
              </w:rPr>
              <w:t xml:space="preserve">of  </w:t>
            </w:r>
            <w:r w:rsidRPr="00B014A8">
              <w:rPr>
                <w:rFonts w:ascii="Arial" w:hAnsi="Arial" w:cs="Arial"/>
              </w:rPr>
              <w:t>climate</w:t>
            </w:r>
            <w:proofErr w:type="gramEnd"/>
            <w:r w:rsidRPr="002D73B6">
              <w:rPr>
                <w:rFonts w:ascii="Arial" w:hAnsi="Arial" w:cs="Arial"/>
                <w:iCs/>
                <w:lang w:eastAsia="ja-JP"/>
              </w:rPr>
              <w:t xml:space="preserve"> change challenges and unsustainable natural resource management challenges in the Churia region, and the associated focus on integrated climate-resilient SNRM within this project, river systems within Provinces 1, 2 and </w:t>
            </w:r>
            <w:r>
              <w:rPr>
                <w:rFonts w:ascii="Arial" w:hAnsi="Arial" w:cs="Arial"/>
                <w:iCs/>
                <w:lang w:eastAsia="ja-JP"/>
              </w:rPr>
              <w:t>Bagmati</w:t>
            </w:r>
            <w:r w:rsidRPr="002D73B6">
              <w:rPr>
                <w:rFonts w:ascii="Arial" w:hAnsi="Arial" w:cs="Arial"/>
                <w:iCs/>
                <w:lang w:eastAsia="ja-JP"/>
              </w:rPr>
              <w:t xml:space="preserve"> were selected as the most appropriate geographic unit to guide project planning and interventions. In total, 26 river systems (the “Project Area”) were selected and prioritized for interventions and support under this project. These river systems were selected based on the results of a multi-criteria analysis, which included an analysis of the river systems’ exposure to climate change impacts and their particular vulnerabilities, as well as the extent of natural resource (including forest) degradation. </w:t>
            </w:r>
          </w:p>
          <w:p w14:paraId="21553293" w14:textId="77777777" w:rsidR="00DE61BC" w:rsidRPr="002D73B6" w:rsidRDefault="00DE61BC" w:rsidP="00B014A8">
            <w:pPr>
              <w:shd w:val="clear" w:color="auto" w:fill="FFFFFF"/>
              <w:spacing w:before="120" w:after="120" w:line="288" w:lineRule="auto"/>
              <w:ind w:left="-16" w:firstLine="16"/>
              <w:rPr>
                <w:rFonts w:ascii="Arial" w:hAnsi="Arial" w:cs="Arial"/>
                <w:lang w:bidi="ar-SA"/>
              </w:rPr>
            </w:pPr>
            <w:r w:rsidRPr="002D73B6">
              <w:rPr>
                <w:rFonts w:ascii="Arial" w:hAnsi="Arial" w:cs="Arial"/>
                <w:lang w:bidi="ar-SA"/>
              </w:rPr>
              <w:lastRenderedPageBreak/>
              <w:t>The statistical analysis was also performed to understand the correlation between different variables related to the deforestation. The parameters which showed a significant correlation include:</w:t>
            </w:r>
          </w:p>
          <w:p w14:paraId="5C81FC67" w14:textId="1CE9747D" w:rsidR="00DE61BC" w:rsidRPr="009A7FB0" w:rsidRDefault="00DE61BC" w:rsidP="002B7C09">
            <w:pPr>
              <w:pStyle w:val="ListParagraph"/>
              <w:numPr>
                <w:ilvl w:val="1"/>
                <w:numId w:val="3"/>
              </w:numPr>
              <w:shd w:val="clear" w:color="auto" w:fill="FFFFFF"/>
              <w:spacing w:before="120" w:after="120" w:line="288" w:lineRule="auto"/>
              <w:ind w:left="360" w:hanging="360"/>
              <w:rPr>
                <w:rFonts w:ascii="Arial" w:hAnsi="Arial" w:cs="Arial"/>
                <w:sz w:val="22"/>
                <w:szCs w:val="22"/>
                <w:lang w:bidi="ar-SA"/>
              </w:rPr>
            </w:pPr>
            <w:r w:rsidRPr="009A7FB0">
              <w:rPr>
                <w:rFonts w:ascii="Arial" w:hAnsi="Arial" w:cs="Arial"/>
                <w:bCs/>
                <w:sz w:val="22"/>
                <w:szCs w:val="22"/>
                <w:lang w:bidi="ar-SA"/>
              </w:rPr>
              <w:t>Deforestation trend 2000-2010-2015</w:t>
            </w:r>
            <w:r w:rsidRPr="009A7FB0">
              <w:rPr>
                <w:rFonts w:ascii="Arial" w:hAnsi="Arial" w:cs="Arial"/>
                <w:sz w:val="22"/>
                <w:szCs w:val="22"/>
                <w:lang w:bidi="ar-SA"/>
              </w:rPr>
              <w:t xml:space="preserve"> in total forest areas lost over this </w:t>
            </w:r>
            <w:r w:rsidR="00B014A8" w:rsidRPr="009A7FB0">
              <w:rPr>
                <w:rFonts w:ascii="Arial" w:hAnsi="Arial" w:cs="Arial"/>
                <w:sz w:val="22"/>
                <w:szCs w:val="22"/>
                <w:lang w:bidi="ar-SA"/>
              </w:rPr>
              <w:t>15-year</w:t>
            </w:r>
            <w:r w:rsidRPr="009A7FB0">
              <w:rPr>
                <w:rFonts w:ascii="Arial" w:hAnsi="Arial" w:cs="Arial"/>
                <w:sz w:val="22"/>
                <w:szCs w:val="22"/>
                <w:lang w:bidi="ar-SA"/>
              </w:rPr>
              <w:t xml:space="preserve"> assessment period</w:t>
            </w:r>
          </w:p>
          <w:p w14:paraId="01BCF4CE" w14:textId="77777777" w:rsidR="00DE61BC" w:rsidRPr="009A7FB0" w:rsidRDefault="00DE61BC" w:rsidP="002B7C09">
            <w:pPr>
              <w:pStyle w:val="ListParagraph"/>
              <w:numPr>
                <w:ilvl w:val="1"/>
                <w:numId w:val="3"/>
              </w:numPr>
              <w:shd w:val="clear" w:color="auto" w:fill="FFFFFF"/>
              <w:spacing w:before="120" w:after="120" w:line="288" w:lineRule="auto"/>
              <w:ind w:left="360" w:hanging="360"/>
              <w:rPr>
                <w:rFonts w:ascii="Arial" w:hAnsi="Arial" w:cs="Arial"/>
                <w:sz w:val="22"/>
                <w:szCs w:val="22"/>
                <w:lang w:bidi="ar-SA"/>
              </w:rPr>
            </w:pPr>
            <w:r w:rsidRPr="009A7FB0">
              <w:rPr>
                <w:rFonts w:ascii="Arial" w:hAnsi="Arial" w:cs="Arial"/>
                <w:bCs/>
                <w:sz w:val="22"/>
                <w:szCs w:val="22"/>
                <w:lang w:bidi="ar-SA"/>
              </w:rPr>
              <w:t>Deforestation annual 2010- 2015 in %</w:t>
            </w:r>
            <w:r w:rsidRPr="009A7FB0">
              <w:rPr>
                <w:rFonts w:ascii="Arial" w:hAnsi="Arial" w:cs="Arial"/>
                <w:sz w:val="22"/>
                <w:szCs w:val="22"/>
                <w:lang w:bidi="ar-SA"/>
              </w:rPr>
              <w:t> (annual deforestation rate)</w:t>
            </w:r>
          </w:p>
          <w:p w14:paraId="49084034" w14:textId="54505AF1" w:rsidR="00DE61BC" w:rsidRPr="009A7FB0" w:rsidRDefault="00DE61BC" w:rsidP="002B7C09">
            <w:pPr>
              <w:pStyle w:val="ListParagraph"/>
              <w:numPr>
                <w:ilvl w:val="1"/>
                <w:numId w:val="3"/>
              </w:numPr>
              <w:shd w:val="clear" w:color="auto" w:fill="FFFFFF"/>
              <w:spacing w:before="120" w:after="120" w:line="288" w:lineRule="auto"/>
              <w:ind w:left="360" w:hanging="360"/>
              <w:rPr>
                <w:rFonts w:ascii="Arial" w:hAnsi="Arial" w:cs="Arial"/>
                <w:sz w:val="22"/>
                <w:szCs w:val="22"/>
                <w:lang w:bidi="ar-SA"/>
              </w:rPr>
            </w:pPr>
            <w:r w:rsidRPr="009A7FB0">
              <w:rPr>
                <w:rFonts w:ascii="Arial" w:hAnsi="Arial" w:cs="Arial"/>
                <w:sz w:val="22"/>
                <w:szCs w:val="22"/>
                <w:lang w:bidi="ar-SA"/>
              </w:rPr>
              <w:t xml:space="preserve">Area </w:t>
            </w:r>
            <w:r w:rsidR="00B014A8" w:rsidRPr="009A7FB0">
              <w:rPr>
                <w:rFonts w:ascii="Arial" w:hAnsi="Arial" w:cs="Arial"/>
                <w:sz w:val="22"/>
                <w:szCs w:val="22"/>
                <w:lang w:bidi="ar-SA"/>
              </w:rPr>
              <w:t>shares</w:t>
            </w:r>
            <w:r w:rsidRPr="009A7FB0">
              <w:rPr>
                <w:rFonts w:ascii="Arial" w:hAnsi="Arial" w:cs="Arial"/>
                <w:sz w:val="22"/>
                <w:szCs w:val="22"/>
                <w:lang w:bidi="ar-SA"/>
              </w:rPr>
              <w:t xml:space="preserve"> per river system classified as </w:t>
            </w:r>
            <w:r w:rsidRPr="009A7FB0">
              <w:rPr>
                <w:rFonts w:ascii="Arial" w:hAnsi="Arial" w:cs="Arial"/>
                <w:bCs/>
                <w:sz w:val="22"/>
                <w:szCs w:val="22"/>
                <w:lang w:bidi="ar-SA"/>
              </w:rPr>
              <w:t>Degradation</w:t>
            </w:r>
            <w:r w:rsidRPr="009A7FB0">
              <w:rPr>
                <w:rFonts w:ascii="Arial" w:hAnsi="Arial" w:cs="Arial"/>
                <w:sz w:val="22"/>
                <w:szCs w:val="22"/>
                <w:lang w:bidi="ar-SA"/>
              </w:rPr>
              <w:t xml:space="preserve"> based on the Churia </w:t>
            </w:r>
            <w:r w:rsidRPr="00E0514C">
              <w:rPr>
                <w:rFonts w:ascii="Arial" w:hAnsi="Arial" w:cs="Arial"/>
                <w:sz w:val="22"/>
                <w:szCs w:val="22"/>
                <w:lang w:bidi="ar-SA"/>
              </w:rPr>
              <w:t>Master Plan (MP)</w:t>
            </w:r>
          </w:p>
          <w:p w14:paraId="5C93DBAA" w14:textId="6F13217D" w:rsidR="00DE61BC" w:rsidRPr="009A7FB0" w:rsidRDefault="00DE61BC" w:rsidP="002B7C09">
            <w:pPr>
              <w:pStyle w:val="ListParagraph"/>
              <w:numPr>
                <w:ilvl w:val="1"/>
                <w:numId w:val="3"/>
              </w:numPr>
              <w:shd w:val="clear" w:color="auto" w:fill="FFFFFF"/>
              <w:spacing w:before="120" w:after="120" w:line="288" w:lineRule="auto"/>
              <w:ind w:left="360" w:hanging="360"/>
              <w:rPr>
                <w:rFonts w:ascii="Arial" w:hAnsi="Arial" w:cs="Arial"/>
                <w:sz w:val="22"/>
                <w:szCs w:val="22"/>
                <w:lang w:bidi="ar-SA"/>
              </w:rPr>
            </w:pPr>
            <w:r w:rsidRPr="009A7FB0">
              <w:rPr>
                <w:rFonts w:ascii="Arial" w:hAnsi="Arial" w:cs="Arial"/>
                <w:sz w:val="22"/>
                <w:szCs w:val="22"/>
                <w:lang w:bidi="ar-SA"/>
              </w:rPr>
              <w:t xml:space="preserve">Area </w:t>
            </w:r>
            <w:r w:rsidR="00B014A8" w:rsidRPr="009A7FB0">
              <w:rPr>
                <w:rFonts w:ascii="Arial" w:hAnsi="Arial" w:cs="Arial"/>
                <w:sz w:val="22"/>
                <w:szCs w:val="22"/>
                <w:lang w:bidi="ar-SA"/>
              </w:rPr>
              <w:t>shares</w:t>
            </w:r>
            <w:r w:rsidRPr="009A7FB0">
              <w:rPr>
                <w:rFonts w:ascii="Arial" w:hAnsi="Arial" w:cs="Arial"/>
                <w:sz w:val="22"/>
                <w:szCs w:val="22"/>
                <w:lang w:bidi="ar-SA"/>
              </w:rPr>
              <w:t xml:space="preserve"> per river system classified as </w:t>
            </w:r>
            <w:r w:rsidRPr="009A7FB0">
              <w:rPr>
                <w:rFonts w:ascii="Arial" w:hAnsi="Arial" w:cs="Arial"/>
                <w:bCs/>
                <w:sz w:val="22"/>
                <w:szCs w:val="22"/>
                <w:lang w:bidi="ar-SA"/>
              </w:rPr>
              <w:t>slope instability/ susceptibility</w:t>
            </w:r>
          </w:p>
          <w:p w14:paraId="2F5EF242" w14:textId="77777777" w:rsidR="00DE61BC" w:rsidRPr="009A7FB0" w:rsidRDefault="00DE61BC" w:rsidP="002B7C09">
            <w:pPr>
              <w:pStyle w:val="ListParagraph"/>
              <w:numPr>
                <w:ilvl w:val="1"/>
                <w:numId w:val="3"/>
              </w:numPr>
              <w:shd w:val="clear" w:color="auto" w:fill="FFFFFF"/>
              <w:spacing w:before="120" w:after="120" w:line="288" w:lineRule="auto"/>
              <w:ind w:left="360" w:hanging="360"/>
              <w:rPr>
                <w:rFonts w:ascii="Arial" w:hAnsi="Arial" w:cs="Arial"/>
                <w:sz w:val="22"/>
                <w:szCs w:val="22"/>
                <w:lang w:bidi="ar-SA"/>
              </w:rPr>
            </w:pPr>
            <w:r w:rsidRPr="009A7FB0">
              <w:rPr>
                <w:rFonts w:ascii="Arial" w:hAnsi="Arial" w:cs="Arial"/>
                <w:bCs/>
                <w:sz w:val="22"/>
                <w:szCs w:val="22"/>
                <w:lang w:bidi="ar-SA"/>
              </w:rPr>
              <w:t>No Settlements in Churia Hills</w:t>
            </w:r>
          </w:p>
          <w:p w14:paraId="68809E39" w14:textId="77777777" w:rsidR="00DE61BC" w:rsidRPr="009A7FB0" w:rsidRDefault="00DE61BC" w:rsidP="002B7C09">
            <w:pPr>
              <w:pStyle w:val="ListParagraph"/>
              <w:numPr>
                <w:ilvl w:val="1"/>
                <w:numId w:val="3"/>
              </w:numPr>
              <w:shd w:val="clear" w:color="auto" w:fill="FFFFFF"/>
              <w:spacing w:before="120" w:after="120" w:line="288" w:lineRule="auto"/>
              <w:ind w:left="360" w:hanging="360"/>
              <w:rPr>
                <w:rFonts w:ascii="Arial" w:hAnsi="Arial" w:cs="Arial"/>
                <w:sz w:val="22"/>
                <w:szCs w:val="22"/>
                <w:lang w:bidi="ar-SA"/>
              </w:rPr>
            </w:pPr>
            <w:r w:rsidRPr="009A7FB0">
              <w:rPr>
                <w:rFonts w:ascii="Arial" w:hAnsi="Arial" w:cs="Arial"/>
                <w:bCs/>
                <w:sz w:val="22"/>
                <w:szCs w:val="22"/>
                <w:lang w:bidi="ar-SA"/>
              </w:rPr>
              <w:t>Flood prone population increase</w:t>
            </w:r>
            <w:r w:rsidRPr="009A7FB0">
              <w:rPr>
                <w:rFonts w:ascii="Arial" w:hAnsi="Arial" w:cs="Arial"/>
                <w:sz w:val="22"/>
                <w:szCs w:val="22"/>
                <w:lang w:bidi="ar-SA"/>
              </w:rPr>
              <w:t> 2001 – 2011 in % per river system</w:t>
            </w:r>
          </w:p>
          <w:p w14:paraId="2942DF27" w14:textId="6D4E98DB" w:rsidR="00DE61BC" w:rsidRPr="009A7FB0" w:rsidRDefault="00DE61BC" w:rsidP="002B7C09">
            <w:pPr>
              <w:pStyle w:val="ListParagraph"/>
              <w:numPr>
                <w:ilvl w:val="1"/>
                <w:numId w:val="3"/>
              </w:numPr>
              <w:shd w:val="clear" w:color="auto" w:fill="FFFFFF"/>
              <w:spacing w:before="120" w:after="120" w:line="288" w:lineRule="auto"/>
              <w:ind w:left="360" w:hanging="360"/>
              <w:rPr>
                <w:rFonts w:ascii="Arial" w:hAnsi="Arial" w:cs="Arial"/>
                <w:sz w:val="22"/>
                <w:szCs w:val="22"/>
                <w:lang w:bidi="ar-SA"/>
              </w:rPr>
            </w:pPr>
            <w:r w:rsidRPr="009A7FB0">
              <w:rPr>
                <w:rFonts w:ascii="Arial" w:hAnsi="Arial" w:cs="Arial"/>
                <w:bCs/>
                <w:sz w:val="22"/>
                <w:szCs w:val="22"/>
                <w:lang w:bidi="ar-SA"/>
              </w:rPr>
              <w:t>Area</w:t>
            </w:r>
            <w:r w:rsidRPr="009A7FB0">
              <w:rPr>
                <w:rFonts w:ascii="Arial" w:hAnsi="Arial" w:cs="Arial"/>
                <w:sz w:val="22"/>
                <w:szCs w:val="22"/>
                <w:lang w:bidi="ar-SA"/>
              </w:rPr>
              <w:t> </w:t>
            </w:r>
            <w:r w:rsidR="00B014A8" w:rsidRPr="009A7FB0">
              <w:rPr>
                <w:rFonts w:ascii="Arial" w:hAnsi="Arial" w:cs="Arial"/>
                <w:sz w:val="22"/>
                <w:szCs w:val="22"/>
                <w:lang w:bidi="ar-SA"/>
              </w:rPr>
              <w:t>shares</w:t>
            </w:r>
            <w:r w:rsidRPr="009A7FB0">
              <w:rPr>
                <w:rFonts w:ascii="Arial" w:hAnsi="Arial" w:cs="Arial"/>
                <w:sz w:val="22"/>
                <w:szCs w:val="22"/>
                <w:lang w:bidi="ar-SA"/>
              </w:rPr>
              <w:t xml:space="preserve"> per river system </w:t>
            </w:r>
            <w:r w:rsidRPr="009A7FB0">
              <w:rPr>
                <w:rFonts w:ascii="Arial" w:hAnsi="Arial" w:cs="Arial"/>
                <w:bCs/>
                <w:sz w:val="22"/>
                <w:szCs w:val="22"/>
                <w:lang w:bidi="ar-SA"/>
              </w:rPr>
              <w:t>prone to flooding in %</w:t>
            </w:r>
          </w:p>
          <w:p w14:paraId="0577AAF8" w14:textId="50DCCB54" w:rsidR="00DE61BC" w:rsidRPr="009A7FB0" w:rsidRDefault="00DE61BC" w:rsidP="002B7C09">
            <w:pPr>
              <w:pStyle w:val="ListParagraph"/>
              <w:numPr>
                <w:ilvl w:val="1"/>
                <w:numId w:val="3"/>
              </w:numPr>
              <w:shd w:val="clear" w:color="auto" w:fill="FFFFFF"/>
              <w:spacing w:before="120" w:after="120" w:line="288" w:lineRule="auto"/>
              <w:ind w:left="360" w:hanging="360"/>
              <w:rPr>
                <w:rFonts w:ascii="Arial" w:hAnsi="Arial" w:cs="Arial"/>
                <w:sz w:val="22"/>
                <w:szCs w:val="22"/>
                <w:lang w:bidi="ar-SA"/>
              </w:rPr>
            </w:pPr>
            <w:r w:rsidRPr="009A7FB0">
              <w:rPr>
                <w:rFonts w:ascii="Arial" w:hAnsi="Arial" w:cs="Arial"/>
                <w:bCs/>
                <w:sz w:val="22"/>
                <w:szCs w:val="22"/>
                <w:lang w:bidi="ar-SA"/>
              </w:rPr>
              <w:t>Area</w:t>
            </w:r>
            <w:r w:rsidRPr="009A7FB0">
              <w:rPr>
                <w:rFonts w:ascii="Arial" w:hAnsi="Arial" w:cs="Arial"/>
                <w:sz w:val="22"/>
                <w:szCs w:val="22"/>
                <w:lang w:bidi="ar-SA"/>
              </w:rPr>
              <w:t> </w:t>
            </w:r>
            <w:r w:rsidR="00B014A8" w:rsidRPr="009A7FB0">
              <w:rPr>
                <w:rFonts w:ascii="Arial" w:hAnsi="Arial" w:cs="Arial"/>
                <w:sz w:val="22"/>
                <w:szCs w:val="22"/>
                <w:lang w:bidi="ar-SA"/>
              </w:rPr>
              <w:t>shares</w:t>
            </w:r>
            <w:r w:rsidRPr="009A7FB0">
              <w:rPr>
                <w:rFonts w:ascii="Arial" w:hAnsi="Arial" w:cs="Arial"/>
                <w:sz w:val="22"/>
                <w:szCs w:val="22"/>
                <w:lang w:bidi="ar-SA"/>
              </w:rPr>
              <w:t xml:space="preserve"> per river system </w:t>
            </w:r>
            <w:r w:rsidRPr="009A7FB0">
              <w:rPr>
                <w:rFonts w:ascii="Arial" w:hAnsi="Arial" w:cs="Arial"/>
                <w:bCs/>
                <w:sz w:val="22"/>
                <w:szCs w:val="22"/>
                <w:lang w:bidi="ar-SA"/>
              </w:rPr>
              <w:t>located in Churia hills</w:t>
            </w:r>
          </w:p>
          <w:p w14:paraId="5F16B818" w14:textId="1F0634DE" w:rsidR="00DE61BC" w:rsidRPr="002D73B6" w:rsidRDefault="00DE61BC" w:rsidP="00E0514C">
            <w:pPr>
              <w:shd w:val="clear" w:color="auto" w:fill="FFFFFF"/>
              <w:spacing w:before="120" w:after="120" w:line="288" w:lineRule="auto"/>
              <w:ind w:left="360" w:hanging="360"/>
              <w:rPr>
                <w:rFonts w:ascii="Arial" w:hAnsi="Arial" w:cs="Arial"/>
                <w:iCs/>
                <w:lang w:eastAsia="ja-JP"/>
              </w:rPr>
            </w:pPr>
            <w:r w:rsidRPr="002D73B6">
              <w:rPr>
                <w:rFonts w:ascii="Arial" w:hAnsi="Arial" w:cs="Arial"/>
                <w:lang w:bidi="ar-SA"/>
              </w:rPr>
              <w:t xml:space="preserve">All of these factors considered deriving vulnerable/ critical river systems, and the results produced list of vulnerable river systems.  Considering origin of the river and triggering factors, 26 river systems are finalized. </w:t>
            </w:r>
          </w:p>
        </w:tc>
      </w:tr>
    </w:tbl>
    <w:p w14:paraId="471BACFE" w14:textId="2D08B573" w:rsidR="00DE61BC" w:rsidRDefault="00DE61BC" w:rsidP="002B7C09">
      <w:pPr>
        <w:ind w:left="360" w:hanging="360"/>
      </w:pPr>
    </w:p>
    <w:p w14:paraId="0413A598" w14:textId="546E40E8" w:rsidR="00B014A8" w:rsidRPr="00B014A8" w:rsidRDefault="00B014A8" w:rsidP="00033A73">
      <w:pPr>
        <w:jc w:val="center"/>
        <w:rPr>
          <w:rFonts w:ascii="Arial" w:hAnsi="Arial" w:cs="Arial"/>
          <w:b/>
          <w:bCs/>
          <w:color w:val="00B050"/>
          <w:szCs w:val="22"/>
        </w:rPr>
      </w:pPr>
      <w:r w:rsidRPr="00B014A8">
        <w:rPr>
          <w:rFonts w:ascii="Arial" w:hAnsi="Arial" w:cs="Arial"/>
          <w:b/>
          <w:bCs/>
          <w:color w:val="00B050"/>
          <w:szCs w:val="22"/>
        </w:rPr>
        <w:t>River Systems</w:t>
      </w:r>
    </w:p>
    <w:p w14:paraId="29510CBD" w14:textId="09998144" w:rsidR="00B014A8" w:rsidRDefault="00B014A8" w:rsidP="00B014A8">
      <w:pPr>
        <w:rPr>
          <w:rFonts w:ascii="Arial" w:hAnsi="Arial" w:cs="Arial"/>
          <w:szCs w:val="22"/>
        </w:rPr>
      </w:pPr>
      <w:r>
        <w:rPr>
          <w:rFonts w:ascii="Arial" w:hAnsi="Arial" w:cs="Arial"/>
          <w:szCs w:val="22"/>
        </w:rPr>
        <w:t>The river systems include in the Project Area;</w:t>
      </w:r>
    </w:p>
    <w:p w14:paraId="764DA6D4" w14:textId="115BF902" w:rsidR="00B014A8" w:rsidRDefault="00237895" w:rsidP="00B014A8">
      <w:pPr>
        <w:rPr>
          <w:rFonts w:ascii="Arial" w:hAnsi="Arial" w:cs="Arial"/>
          <w:szCs w:val="22"/>
        </w:rPr>
      </w:pPr>
      <w:r>
        <w:rPr>
          <w:rFonts w:ascii="Arial" w:hAnsi="Arial" w:cs="Arial"/>
          <w:szCs w:val="22"/>
        </w:rPr>
        <w:t xml:space="preserve">a) </w:t>
      </w:r>
      <w:r w:rsidR="00B014A8" w:rsidRPr="001711E2">
        <w:rPr>
          <w:rFonts w:ascii="Arial" w:hAnsi="Arial" w:cs="Arial"/>
          <w:szCs w:val="22"/>
        </w:rPr>
        <w:t>Province-1 includes</w:t>
      </w:r>
      <w:r w:rsidR="00B014A8">
        <w:rPr>
          <w:rFonts w:ascii="Arial" w:hAnsi="Arial" w:cs="Arial"/>
          <w:szCs w:val="22"/>
        </w:rPr>
        <w:t xml:space="preserve"> 13</w:t>
      </w:r>
      <w:r w:rsidR="00B014A8" w:rsidRPr="001711E2">
        <w:rPr>
          <w:rFonts w:ascii="Arial" w:hAnsi="Arial" w:cs="Arial"/>
          <w:szCs w:val="22"/>
        </w:rPr>
        <w:t xml:space="preserve"> river systems</w:t>
      </w:r>
      <w:r w:rsidR="00B014A8">
        <w:rPr>
          <w:rFonts w:ascii="Arial" w:hAnsi="Arial" w:cs="Arial"/>
          <w:szCs w:val="22"/>
        </w:rPr>
        <w:t>:</w:t>
      </w:r>
      <w:r w:rsidR="00B014A8" w:rsidRPr="001711E2">
        <w:rPr>
          <w:rFonts w:ascii="Arial" w:hAnsi="Arial" w:cs="Arial"/>
          <w:szCs w:val="22"/>
        </w:rPr>
        <w:t xml:space="preserve"> </w:t>
      </w:r>
      <w:proofErr w:type="spellStart"/>
      <w:r w:rsidR="00B014A8" w:rsidRPr="001711E2">
        <w:rPr>
          <w:rFonts w:ascii="Arial" w:hAnsi="Arial" w:cs="Arial"/>
          <w:szCs w:val="22"/>
        </w:rPr>
        <w:t>Kokaha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Gideri</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Khola</w:t>
      </w:r>
      <w:proofErr w:type="spellEnd"/>
      <w:r w:rsidR="00B014A8" w:rsidRPr="001711E2">
        <w:rPr>
          <w:rFonts w:ascii="Arial" w:hAnsi="Arial" w:cs="Arial"/>
          <w:szCs w:val="22"/>
        </w:rPr>
        <w:t xml:space="preserve">, Sun </w:t>
      </w:r>
      <w:proofErr w:type="spellStart"/>
      <w:r w:rsidR="00B014A8" w:rsidRPr="001711E2">
        <w:rPr>
          <w:rFonts w:ascii="Arial" w:hAnsi="Arial" w:cs="Arial"/>
          <w:szCs w:val="22"/>
        </w:rPr>
        <w:t>Koshi</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Adherei-Baruwa-Duar</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Khola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Budhi</w:t>
      </w:r>
      <w:proofErr w:type="spellEnd"/>
      <w:r w:rsidR="00B014A8" w:rsidRPr="001711E2">
        <w:rPr>
          <w:rFonts w:ascii="Arial" w:hAnsi="Arial" w:cs="Arial"/>
          <w:szCs w:val="22"/>
        </w:rPr>
        <w:t xml:space="preserve"> </w:t>
      </w:r>
      <w:proofErr w:type="spellStart"/>
      <w:r w:rsidR="00B014A8">
        <w:rPr>
          <w:rFonts w:ascii="Arial" w:hAnsi="Arial" w:cs="Arial"/>
          <w:szCs w:val="22"/>
        </w:rPr>
        <w:t>K</w:t>
      </w:r>
      <w:r w:rsidR="00B014A8" w:rsidRPr="001711E2">
        <w:rPr>
          <w:rFonts w:ascii="Arial" w:hAnsi="Arial" w:cs="Arial"/>
          <w:szCs w:val="22"/>
        </w:rPr>
        <w:t>hola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Patnali</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Khola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Lohandra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Nadi</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Bataha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Khola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Bakraha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Khola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Kankai</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Nadi</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Ratuwa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Nadi</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Biring</w:t>
      </w:r>
      <w:proofErr w:type="spellEnd"/>
      <w:r w:rsidR="00B014A8" w:rsidRPr="001711E2">
        <w:rPr>
          <w:rFonts w:ascii="Arial" w:hAnsi="Arial" w:cs="Arial"/>
          <w:szCs w:val="22"/>
        </w:rPr>
        <w:t xml:space="preserve">, and </w:t>
      </w:r>
      <w:proofErr w:type="spellStart"/>
      <w:r w:rsidR="00B014A8" w:rsidRPr="001711E2">
        <w:rPr>
          <w:rFonts w:ascii="Arial" w:hAnsi="Arial" w:cs="Arial"/>
          <w:szCs w:val="22"/>
        </w:rPr>
        <w:t>Mechi</w:t>
      </w:r>
      <w:proofErr w:type="spellEnd"/>
      <w:r w:rsidR="00B014A8" w:rsidRPr="001711E2">
        <w:rPr>
          <w:rFonts w:ascii="Arial" w:hAnsi="Arial" w:cs="Arial"/>
          <w:szCs w:val="22"/>
        </w:rPr>
        <w:t xml:space="preserve">. </w:t>
      </w:r>
    </w:p>
    <w:p w14:paraId="2E6FD070" w14:textId="05EC1296" w:rsidR="00B014A8" w:rsidRDefault="00237895" w:rsidP="00B014A8">
      <w:pPr>
        <w:rPr>
          <w:rFonts w:ascii="Arial" w:hAnsi="Arial" w:cs="Arial"/>
          <w:szCs w:val="22"/>
        </w:rPr>
      </w:pPr>
      <w:r>
        <w:rPr>
          <w:rFonts w:ascii="Arial" w:hAnsi="Arial" w:cs="Arial"/>
          <w:szCs w:val="22"/>
        </w:rPr>
        <w:t xml:space="preserve">b) </w:t>
      </w:r>
      <w:r w:rsidR="00B014A8" w:rsidRPr="001711E2">
        <w:rPr>
          <w:rFonts w:ascii="Arial" w:hAnsi="Arial" w:cs="Arial"/>
          <w:szCs w:val="22"/>
        </w:rPr>
        <w:t xml:space="preserve">Province- 2 includes </w:t>
      </w:r>
      <w:r w:rsidR="00B014A8">
        <w:rPr>
          <w:rFonts w:ascii="Arial" w:hAnsi="Arial" w:cs="Arial"/>
          <w:szCs w:val="22"/>
        </w:rPr>
        <w:t>7</w:t>
      </w:r>
      <w:r w:rsidR="00B014A8" w:rsidRPr="001711E2">
        <w:rPr>
          <w:rFonts w:ascii="Arial" w:hAnsi="Arial" w:cs="Arial"/>
          <w:szCs w:val="22"/>
        </w:rPr>
        <w:t xml:space="preserve"> river systems</w:t>
      </w:r>
      <w:r w:rsidR="00B014A8">
        <w:rPr>
          <w:rFonts w:ascii="Arial" w:hAnsi="Arial" w:cs="Arial"/>
          <w:szCs w:val="22"/>
        </w:rPr>
        <w:t>:</w:t>
      </w:r>
      <w:r w:rsidR="00B014A8" w:rsidRPr="001711E2">
        <w:rPr>
          <w:rFonts w:ascii="Arial" w:hAnsi="Arial" w:cs="Arial"/>
          <w:szCs w:val="22"/>
        </w:rPr>
        <w:t xml:space="preserve"> </w:t>
      </w:r>
      <w:proofErr w:type="spellStart"/>
      <w:r w:rsidR="00B014A8" w:rsidRPr="001711E2">
        <w:rPr>
          <w:rFonts w:ascii="Arial" w:hAnsi="Arial" w:cs="Arial"/>
          <w:szCs w:val="22"/>
        </w:rPr>
        <w:t>Lakhandehi</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Khola</w:t>
      </w:r>
      <w:proofErr w:type="spellEnd"/>
      <w:r w:rsidR="00B014A8" w:rsidRPr="001711E2">
        <w:rPr>
          <w:rFonts w:ascii="Arial" w:hAnsi="Arial" w:cs="Arial"/>
          <w:szCs w:val="22"/>
        </w:rPr>
        <w:t xml:space="preserve">, Ratu </w:t>
      </w:r>
      <w:proofErr w:type="spellStart"/>
      <w:r w:rsidR="00B014A8" w:rsidRPr="001711E2">
        <w:rPr>
          <w:rFonts w:ascii="Arial" w:hAnsi="Arial" w:cs="Arial"/>
          <w:szCs w:val="22"/>
        </w:rPr>
        <w:t>Nadi</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Charnath</w:t>
      </w:r>
      <w:proofErr w:type="spellEnd"/>
      <w:r w:rsidR="00B014A8" w:rsidRPr="001711E2">
        <w:rPr>
          <w:rFonts w:ascii="Arial" w:hAnsi="Arial" w:cs="Arial"/>
          <w:szCs w:val="22"/>
        </w:rPr>
        <w:t>, Kamala-</w:t>
      </w:r>
      <w:proofErr w:type="spellStart"/>
      <w:r w:rsidR="00B014A8" w:rsidRPr="001711E2">
        <w:rPr>
          <w:rFonts w:ascii="Arial" w:hAnsi="Arial" w:cs="Arial"/>
          <w:szCs w:val="22"/>
        </w:rPr>
        <w:t>Belsot</w:t>
      </w:r>
      <w:proofErr w:type="spellEnd"/>
      <w:r w:rsidR="00B014A8" w:rsidRPr="001711E2">
        <w:rPr>
          <w:rFonts w:ascii="Arial" w:hAnsi="Arial" w:cs="Arial"/>
          <w:szCs w:val="22"/>
        </w:rPr>
        <w:t>-</w:t>
      </w:r>
      <w:proofErr w:type="spellStart"/>
      <w:r w:rsidR="00B014A8" w:rsidRPr="001711E2">
        <w:rPr>
          <w:rFonts w:ascii="Arial" w:hAnsi="Arial" w:cs="Arial"/>
          <w:szCs w:val="22"/>
        </w:rPr>
        <w:t>Jogiya</w:t>
      </w:r>
      <w:proofErr w:type="spellEnd"/>
      <w:r w:rsidR="00B014A8" w:rsidRPr="001711E2">
        <w:rPr>
          <w:rFonts w:ascii="Arial" w:hAnsi="Arial" w:cs="Arial"/>
          <w:szCs w:val="22"/>
        </w:rPr>
        <w:t xml:space="preserve">, Balan </w:t>
      </w:r>
      <w:proofErr w:type="spellStart"/>
      <w:r w:rsidR="00B014A8" w:rsidRPr="001711E2">
        <w:rPr>
          <w:rFonts w:ascii="Arial" w:hAnsi="Arial" w:cs="Arial"/>
          <w:szCs w:val="22"/>
        </w:rPr>
        <w:t>Khola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Bihul</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Nadi</w:t>
      </w:r>
      <w:proofErr w:type="spellEnd"/>
      <w:r w:rsidR="00B014A8" w:rsidRPr="001711E2">
        <w:rPr>
          <w:rFonts w:ascii="Arial" w:hAnsi="Arial" w:cs="Arial"/>
          <w:szCs w:val="22"/>
        </w:rPr>
        <w:t xml:space="preserve">, and </w:t>
      </w:r>
      <w:proofErr w:type="spellStart"/>
      <w:r w:rsidR="00B014A8" w:rsidRPr="001711E2">
        <w:rPr>
          <w:rFonts w:ascii="Arial" w:hAnsi="Arial" w:cs="Arial"/>
          <w:szCs w:val="22"/>
        </w:rPr>
        <w:t>Khado</w:t>
      </w:r>
      <w:proofErr w:type="spellEnd"/>
      <w:r w:rsidR="00B014A8" w:rsidRPr="001711E2">
        <w:rPr>
          <w:rFonts w:ascii="Arial" w:hAnsi="Arial" w:cs="Arial"/>
          <w:szCs w:val="22"/>
        </w:rPr>
        <w:t xml:space="preserve"> </w:t>
      </w:r>
      <w:proofErr w:type="spellStart"/>
      <w:r w:rsidR="00B014A8">
        <w:rPr>
          <w:rFonts w:ascii="Arial" w:hAnsi="Arial" w:cs="Arial"/>
          <w:szCs w:val="22"/>
        </w:rPr>
        <w:t>K</w:t>
      </w:r>
      <w:r w:rsidR="00B014A8" w:rsidRPr="001711E2">
        <w:rPr>
          <w:rFonts w:ascii="Arial" w:hAnsi="Arial" w:cs="Arial"/>
          <w:szCs w:val="22"/>
        </w:rPr>
        <w:t>hola</w:t>
      </w:r>
      <w:proofErr w:type="spellEnd"/>
      <w:r w:rsidR="00B014A8" w:rsidRPr="001711E2">
        <w:rPr>
          <w:rFonts w:ascii="Arial" w:hAnsi="Arial" w:cs="Arial"/>
          <w:szCs w:val="22"/>
        </w:rPr>
        <w:t xml:space="preserve">. </w:t>
      </w:r>
    </w:p>
    <w:p w14:paraId="24160049" w14:textId="1EAEBCEF" w:rsidR="00D86067" w:rsidRDefault="00237895" w:rsidP="00B014A8">
      <w:pPr>
        <w:rPr>
          <w:rFonts w:ascii="Arial" w:hAnsi="Arial" w:cs="Arial"/>
          <w:szCs w:val="22"/>
        </w:rPr>
      </w:pPr>
      <w:r>
        <w:rPr>
          <w:rFonts w:ascii="Arial" w:hAnsi="Arial" w:cs="Arial"/>
          <w:szCs w:val="22"/>
        </w:rPr>
        <w:t xml:space="preserve">c) </w:t>
      </w:r>
      <w:proofErr w:type="spellStart"/>
      <w:r w:rsidR="00B014A8" w:rsidRPr="001711E2">
        <w:rPr>
          <w:rFonts w:ascii="Arial" w:hAnsi="Arial" w:cs="Arial"/>
          <w:szCs w:val="22"/>
        </w:rPr>
        <w:t>Bagam</w:t>
      </w:r>
      <w:r w:rsidR="00B014A8">
        <w:rPr>
          <w:rFonts w:ascii="Arial" w:hAnsi="Arial" w:cs="Arial"/>
          <w:szCs w:val="22"/>
        </w:rPr>
        <w:t>a</w:t>
      </w:r>
      <w:r w:rsidR="00B014A8" w:rsidRPr="001711E2">
        <w:rPr>
          <w:rFonts w:ascii="Arial" w:hAnsi="Arial" w:cs="Arial"/>
          <w:szCs w:val="22"/>
        </w:rPr>
        <w:t>ti</w:t>
      </w:r>
      <w:proofErr w:type="spellEnd"/>
      <w:r w:rsidR="00B014A8" w:rsidRPr="001711E2">
        <w:rPr>
          <w:rFonts w:ascii="Arial" w:hAnsi="Arial" w:cs="Arial"/>
          <w:szCs w:val="22"/>
        </w:rPr>
        <w:t xml:space="preserve"> Province includes </w:t>
      </w:r>
      <w:r w:rsidR="00B014A8">
        <w:rPr>
          <w:rFonts w:ascii="Arial" w:hAnsi="Arial" w:cs="Arial"/>
          <w:szCs w:val="22"/>
        </w:rPr>
        <w:t>6</w:t>
      </w:r>
      <w:r w:rsidR="00B014A8" w:rsidRPr="001711E2">
        <w:rPr>
          <w:rFonts w:ascii="Arial" w:hAnsi="Arial" w:cs="Arial"/>
          <w:szCs w:val="22"/>
        </w:rPr>
        <w:t xml:space="preserve"> river</w:t>
      </w:r>
      <w:r w:rsidR="00B014A8">
        <w:rPr>
          <w:rFonts w:ascii="Arial" w:hAnsi="Arial" w:cs="Arial"/>
          <w:szCs w:val="22"/>
        </w:rPr>
        <w:t xml:space="preserve"> </w:t>
      </w:r>
      <w:r w:rsidR="00B014A8" w:rsidRPr="001711E2">
        <w:rPr>
          <w:rFonts w:ascii="Arial" w:hAnsi="Arial" w:cs="Arial"/>
          <w:szCs w:val="22"/>
        </w:rPr>
        <w:t>s</w:t>
      </w:r>
      <w:r w:rsidR="00B014A8">
        <w:rPr>
          <w:rFonts w:ascii="Arial" w:hAnsi="Arial" w:cs="Arial"/>
          <w:szCs w:val="22"/>
        </w:rPr>
        <w:t>ystems:</w:t>
      </w:r>
      <w:r w:rsidR="00B014A8" w:rsidRPr="001711E2">
        <w:rPr>
          <w:rFonts w:ascii="Arial" w:hAnsi="Arial" w:cs="Arial"/>
          <w:szCs w:val="22"/>
        </w:rPr>
        <w:t xml:space="preserve"> </w:t>
      </w:r>
      <w:proofErr w:type="spellStart"/>
      <w:r w:rsidR="00B014A8" w:rsidRPr="001711E2">
        <w:rPr>
          <w:rFonts w:ascii="Arial" w:hAnsi="Arial" w:cs="Arial"/>
          <w:szCs w:val="22"/>
        </w:rPr>
        <w:t>Chadaha</w:t>
      </w:r>
      <w:proofErr w:type="spellEnd"/>
      <w:r w:rsidR="00B014A8" w:rsidRPr="001711E2">
        <w:rPr>
          <w:rFonts w:ascii="Arial" w:hAnsi="Arial" w:cs="Arial"/>
          <w:szCs w:val="22"/>
        </w:rPr>
        <w:t xml:space="preserve"> </w:t>
      </w:r>
      <w:proofErr w:type="spellStart"/>
      <w:r w:rsidR="00B014A8" w:rsidRPr="001711E2">
        <w:rPr>
          <w:rFonts w:ascii="Arial" w:hAnsi="Arial" w:cs="Arial"/>
          <w:szCs w:val="22"/>
        </w:rPr>
        <w:t>Khola</w:t>
      </w:r>
      <w:proofErr w:type="spellEnd"/>
      <w:r w:rsidR="00B014A8" w:rsidRPr="001711E2">
        <w:rPr>
          <w:rFonts w:ascii="Arial" w:hAnsi="Arial" w:cs="Arial"/>
          <w:szCs w:val="22"/>
        </w:rPr>
        <w:t xml:space="preserve">, Kamala-North, Tawa-North, Tawa-South, Kamala-South and Thakur </w:t>
      </w:r>
      <w:proofErr w:type="spellStart"/>
      <w:r w:rsidR="00B014A8" w:rsidRPr="001711E2">
        <w:rPr>
          <w:rFonts w:ascii="Arial" w:hAnsi="Arial" w:cs="Arial"/>
          <w:szCs w:val="22"/>
        </w:rPr>
        <w:t>Khola</w:t>
      </w:r>
      <w:proofErr w:type="spellEnd"/>
      <w:r w:rsidR="00B014A8" w:rsidRPr="001711E2">
        <w:rPr>
          <w:rFonts w:ascii="Arial" w:hAnsi="Arial" w:cs="Arial"/>
          <w:szCs w:val="22"/>
        </w:rPr>
        <w:t xml:space="preserve">.  </w:t>
      </w:r>
    </w:p>
    <w:p w14:paraId="2BD7E316" w14:textId="77777777" w:rsidR="00D86067" w:rsidRDefault="00D86067">
      <w:pPr>
        <w:rPr>
          <w:rFonts w:ascii="Arial" w:hAnsi="Arial" w:cs="Arial"/>
          <w:szCs w:val="22"/>
        </w:rPr>
      </w:pPr>
      <w:r>
        <w:rPr>
          <w:rFonts w:ascii="Arial" w:hAnsi="Arial" w:cs="Arial"/>
          <w:szCs w:val="22"/>
        </w:rPr>
        <w:br w:type="page"/>
      </w:r>
    </w:p>
    <w:p w14:paraId="618B339D" w14:textId="77777777" w:rsidR="00D86067" w:rsidRDefault="00D86067" w:rsidP="00D86067">
      <w:pPr>
        <w:jc w:val="center"/>
        <w:rPr>
          <w:rFonts w:ascii="Arial" w:hAnsi="Arial" w:cs="Arial"/>
          <w:szCs w:val="22"/>
        </w:rPr>
      </w:pPr>
      <w:r>
        <w:rPr>
          <w:rFonts w:ascii="Arial" w:hAnsi="Arial" w:cs="Arial"/>
          <w:noProof/>
        </w:rPr>
        <w:lastRenderedPageBreak/>
        <w:drawing>
          <wp:inline distT="0" distB="0" distL="0" distR="0" wp14:anchorId="11B8FB10" wp14:editId="41E2B60E">
            <wp:extent cx="5943600" cy="3093010"/>
            <wp:effectExtent l="0" t="0" r="0" b="0"/>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5943600" cy="3093010"/>
                    </a:xfrm>
                    <a:prstGeom prst="rect">
                      <a:avLst/>
                    </a:prstGeom>
                    <a:noFill/>
                    <a:ln w="9525">
                      <a:noFill/>
                      <a:miter lim="800000"/>
                      <a:headEnd/>
                      <a:tailEnd/>
                    </a:ln>
                  </pic:spPr>
                </pic:pic>
              </a:graphicData>
            </a:graphic>
          </wp:inline>
        </w:drawing>
      </w:r>
    </w:p>
    <w:p w14:paraId="0DED74CB" w14:textId="6CD49571" w:rsidR="00DE61BC" w:rsidRDefault="00D86067" w:rsidP="00D86067">
      <w:pPr>
        <w:jc w:val="center"/>
        <w:rPr>
          <w:rFonts w:ascii="Arial" w:hAnsi="Arial" w:cs="Arial"/>
          <w:szCs w:val="22"/>
        </w:rPr>
      </w:pPr>
      <w:r w:rsidRPr="002D73B6">
        <w:rPr>
          <w:rFonts w:ascii="Arial" w:hAnsi="Arial" w:cs="Arial"/>
          <w:szCs w:val="22"/>
        </w:rPr>
        <w:t xml:space="preserve">Figure </w:t>
      </w:r>
      <w:r>
        <w:rPr>
          <w:rFonts w:ascii="Arial" w:hAnsi="Arial" w:cs="Arial"/>
          <w:szCs w:val="22"/>
        </w:rPr>
        <w:t>1</w:t>
      </w:r>
      <w:r w:rsidRPr="002D73B6">
        <w:rPr>
          <w:rFonts w:ascii="Arial" w:hAnsi="Arial" w:cs="Arial"/>
          <w:szCs w:val="22"/>
        </w:rPr>
        <w:t>: Intervention area for the BRCRN project</w:t>
      </w:r>
    </w:p>
    <w:p w14:paraId="6D2729CE" w14:textId="3092D6BF" w:rsidR="00033A73" w:rsidRDefault="00033A73" w:rsidP="00033A73">
      <w:pPr>
        <w:pStyle w:val="Heading2"/>
        <w:spacing w:before="120" w:after="120" w:line="288" w:lineRule="auto"/>
        <w:jc w:val="center"/>
        <w:rPr>
          <w:rFonts w:ascii="Arial" w:hAnsi="Arial" w:cs="Arial"/>
          <w:b/>
          <w:bCs/>
          <w:color w:val="auto"/>
          <w:sz w:val="22"/>
          <w:szCs w:val="22"/>
        </w:rPr>
      </w:pPr>
      <w:bookmarkStart w:id="3" w:name="_Toc51514756"/>
      <w:bookmarkStart w:id="4" w:name="_Toc51516226"/>
      <w:bookmarkStart w:id="5" w:name="_Toc51516546"/>
      <w:bookmarkStart w:id="6" w:name="_Toc51526818"/>
      <w:bookmarkStart w:id="7" w:name="_Toc51655917"/>
    </w:p>
    <w:p w14:paraId="0C452087" w14:textId="52FD84ED" w:rsidR="00237895" w:rsidRDefault="00237895" w:rsidP="00237895">
      <w:pPr>
        <w:rPr>
          <w:lang w:val="en-GB" w:bidi="en-US"/>
        </w:rPr>
      </w:pPr>
    </w:p>
    <w:p w14:paraId="62E1668A" w14:textId="7C27B24B" w:rsidR="00237895" w:rsidRDefault="00237895" w:rsidP="00237895">
      <w:pPr>
        <w:rPr>
          <w:lang w:val="en-GB" w:bidi="en-US"/>
        </w:rPr>
      </w:pPr>
    </w:p>
    <w:p w14:paraId="19EFD23F" w14:textId="77777777" w:rsidR="00237895" w:rsidRPr="00237895" w:rsidRDefault="00237895" w:rsidP="00237895">
      <w:pPr>
        <w:rPr>
          <w:lang w:val="en-GB" w:bidi="en-US"/>
        </w:rPr>
      </w:pPr>
    </w:p>
    <w:p w14:paraId="5BB48DC7" w14:textId="3380BEDE" w:rsidR="0090446C" w:rsidRPr="00033A73" w:rsidRDefault="0090446C" w:rsidP="00033A73">
      <w:pPr>
        <w:pStyle w:val="Heading2"/>
        <w:spacing w:before="120" w:after="120" w:line="288" w:lineRule="auto"/>
        <w:jc w:val="center"/>
        <w:rPr>
          <w:rFonts w:ascii="Arial" w:hAnsi="Arial" w:cs="Arial"/>
          <w:b/>
          <w:bCs/>
          <w:color w:val="00B050"/>
          <w:sz w:val="22"/>
          <w:szCs w:val="22"/>
        </w:rPr>
      </w:pPr>
      <w:r w:rsidRPr="00033A73">
        <w:rPr>
          <w:rFonts w:ascii="Arial" w:hAnsi="Arial" w:cs="Arial"/>
          <w:b/>
          <w:bCs/>
          <w:color w:val="00B050"/>
          <w:sz w:val="22"/>
          <w:szCs w:val="22"/>
        </w:rPr>
        <w:t>Direct and Indirect beneficiaries</w:t>
      </w:r>
      <w:bookmarkEnd w:id="3"/>
      <w:bookmarkEnd w:id="4"/>
      <w:bookmarkEnd w:id="5"/>
      <w:bookmarkEnd w:id="6"/>
      <w:bookmarkEnd w:id="7"/>
    </w:p>
    <w:p w14:paraId="38AFFAF0" w14:textId="75E49ADF" w:rsidR="0090446C" w:rsidRPr="001711E2" w:rsidRDefault="0090446C" w:rsidP="0090446C">
      <w:pPr>
        <w:pStyle w:val="ListParagraph"/>
        <w:numPr>
          <w:ilvl w:val="0"/>
          <w:numId w:val="4"/>
        </w:numPr>
        <w:tabs>
          <w:tab w:val="left" w:pos="0"/>
        </w:tabs>
        <w:spacing w:before="120" w:after="120" w:line="288" w:lineRule="auto"/>
        <w:contextualSpacing w:val="0"/>
        <w:jc w:val="both"/>
        <w:rPr>
          <w:rFonts w:ascii="Arial" w:hAnsi="Arial" w:cs="Arial"/>
          <w:sz w:val="22"/>
          <w:szCs w:val="22"/>
        </w:rPr>
      </w:pPr>
      <w:r w:rsidRPr="001711E2">
        <w:rPr>
          <w:rFonts w:ascii="Arial" w:hAnsi="Arial" w:cs="Arial"/>
          <w:bCs/>
          <w:sz w:val="22"/>
          <w:szCs w:val="22"/>
        </w:rPr>
        <w:t xml:space="preserve">The </w:t>
      </w:r>
      <w:r>
        <w:rPr>
          <w:rFonts w:ascii="Arial" w:hAnsi="Arial" w:cs="Arial"/>
          <w:sz w:val="22"/>
          <w:szCs w:val="22"/>
        </w:rPr>
        <w:t xml:space="preserve">BRCRN </w:t>
      </w:r>
      <w:r w:rsidRPr="001711E2">
        <w:rPr>
          <w:rFonts w:ascii="Arial" w:hAnsi="Arial" w:cs="Arial"/>
          <w:sz w:val="22"/>
          <w:szCs w:val="22"/>
        </w:rPr>
        <w:t xml:space="preserve">Project </w:t>
      </w:r>
      <w:r>
        <w:rPr>
          <w:rFonts w:ascii="Arial" w:hAnsi="Arial" w:cs="Arial"/>
          <w:sz w:val="22"/>
          <w:szCs w:val="22"/>
        </w:rPr>
        <w:t xml:space="preserve">focuses </w:t>
      </w:r>
      <w:r w:rsidRPr="001711E2">
        <w:rPr>
          <w:rFonts w:ascii="Arial" w:hAnsi="Arial" w:cs="Arial"/>
          <w:sz w:val="22"/>
          <w:szCs w:val="22"/>
        </w:rPr>
        <w:t xml:space="preserve">on the Churia region of Nepal, in particular 26 of the most vulnerable river systems located </w:t>
      </w:r>
      <w:r>
        <w:rPr>
          <w:rFonts w:ascii="Arial" w:hAnsi="Arial" w:cs="Arial"/>
          <w:sz w:val="22"/>
          <w:szCs w:val="22"/>
        </w:rPr>
        <w:t>in</w:t>
      </w:r>
      <w:r w:rsidRPr="001711E2">
        <w:rPr>
          <w:rFonts w:ascii="Arial" w:hAnsi="Arial" w:cs="Arial"/>
          <w:sz w:val="22"/>
          <w:szCs w:val="22"/>
        </w:rPr>
        <w:t xml:space="preserve"> Provinces 1, 2 and Bagmati. Within these river systems over 3.2 million people live, of which half are women and more than two-third are considered to have experienced inter-generational socio-economic exclusion. Around one-third are of indigenous nationalities, and</w:t>
      </w:r>
      <w:r>
        <w:rPr>
          <w:rFonts w:ascii="Arial" w:hAnsi="Arial" w:cs="Arial"/>
          <w:sz w:val="22"/>
          <w:szCs w:val="22"/>
        </w:rPr>
        <w:t xml:space="preserve"> almost 13% are</w:t>
      </w:r>
      <w:r w:rsidRPr="001711E2">
        <w:rPr>
          <w:rFonts w:ascii="Arial" w:hAnsi="Arial" w:cs="Arial"/>
          <w:sz w:val="22"/>
          <w:szCs w:val="22"/>
        </w:rPr>
        <w:t xml:space="preserve"> Dalits. The project intends to work with 750 Community Based Organizations (CBOs). </w:t>
      </w:r>
    </w:p>
    <w:p w14:paraId="523A9564" w14:textId="749792B8" w:rsidR="0090446C" w:rsidRPr="001711E2" w:rsidRDefault="0090446C" w:rsidP="0090446C">
      <w:pPr>
        <w:pStyle w:val="ListParagraph"/>
        <w:numPr>
          <w:ilvl w:val="0"/>
          <w:numId w:val="4"/>
        </w:numPr>
        <w:tabs>
          <w:tab w:val="left" w:pos="0"/>
        </w:tabs>
        <w:spacing w:before="120" w:after="120" w:line="288" w:lineRule="auto"/>
        <w:contextualSpacing w:val="0"/>
        <w:jc w:val="both"/>
        <w:rPr>
          <w:rFonts w:ascii="Arial" w:hAnsi="Arial" w:cs="Arial"/>
          <w:sz w:val="22"/>
          <w:szCs w:val="22"/>
        </w:rPr>
      </w:pPr>
      <w:r w:rsidRPr="001711E2">
        <w:rPr>
          <w:rFonts w:ascii="Arial" w:hAnsi="Arial" w:cs="Arial"/>
          <w:sz w:val="22"/>
          <w:szCs w:val="22"/>
        </w:rPr>
        <w:t>The direct beneficiaries of this project include representatives of provincial and local (</w:t>
      </w:r>
      <w:proofErr w:type="gramStart"/>
      <w:r w:rsidRPr="001711E2">
        <w:rPr>
          <w:rFonts w:ascii="Arial" w:hAnsi="Arial" w:cs="Arial"/>
          <w:sz w:val="22"/>
          <w:szCs w:val="22"/>
        </w:rPr>
        <w:t>i.e.</w:t>
      </w:r>
      <w:proofErr w:type="gramEnd"/>
      <w:r w:rsidRPr="001711E2">
        <w:rPr>
          <w:rFonts w:ascii="Arial" w:hAnsi="Arial" w:cs="Arial"/>
          <w:sz w:val="22"/>
          <w:szCs w:val="22"/>
        </w:rPr>
        <w:t xml:space="preserve"> rural municipalities) governments, as well as at least 750 CBOs (comprised of approximately 200,681 households, 963,268 people). The </w:t>
      </w:r>
      <w:r>
        <w:rPr>
          <w:rFonts w:ascii="Arial" w:hAnsi="Arial" w:cs="Arial"/>
          <w:sz w:val="22"/>
          <w:szCs w:val="22"/>
        </w:rPr>
        <w:t xml:space="preserve">numbers of </w:t>
      </w:r>
      <w:r w:rsidRPr="001711E2">
        <w:rPr>
          <w:rFonts w:ascii="Arial" w:hAnsi="Arial" w:cs="Arial"/>
          <w:sz w:val="22"/>
          <w:szCs w:val="22"/>
        </w:rPr>
        <w:t xml:space="preserve">direct beneficiaries </w:t>
      </w:r>
      <w:r w:rsidRPr="001711E2">
        <w:rPr>
          <w:rFonts w:ascii="Arial" w:hAnsi="Arial" w:cs="Arial"/>
          <w:sz w:val="22"/>
          <w:szCs w:val="22"/>
          <w:lang w:val="en-US"/>
        </w:rPr>
        <w:t xml:space="preserve">are </w:t>
      </w:r>
      <w:r w:rsidRPr="001711E2">
        <w:rPr>
          <w:rFonts w:ascii="Arial" w:hAnsi="Arial" w:cs="Arial"/>
          <w:sz w:val="22"/>
          <w:szCs w:val="22"/>
        </w:rPr>
        <w:t xml:space="preserve">based on the </w:t>
      </w:r>
      <w:r>
        <w:rPr>
          <w:rFonts w:ascii="Arial" w:hAnsi="Arial" w:cs="Arial"/>
          <w:sz w:val="22"/>
          <w:szCs w:val="22"/>
        </w:rPr>
        <w:t>calculations in</w:t>
      </w:r>
      <w:r w:rsidRPr="001711E2">
        <w:rPr>
          <w:rFonts w:ascii="Arial" w:hAnsi="Arial" w:cs="Arial"/>
          <w:sz w:val="22"/>
          <w:szCs w:val="22"/>
        </w:rPr>
        <w:t xml:space="preserve"> </w:t>
      </w:r>
      <w:r w:rsidRPr="001711E2">
        <w:rPr>
          <w:rFonts w:ascii="Arial" w:hAnsi="Arial" w:cs="Arial"/>
          <w:sz w:val="22"/>
          <w:szCs w:val="22"/>
        </w:rPr>
        <w:fldChar w:fldCharType="begin"/>
      </w:r>
      <w:r w:rsidRPr="001711E2">
        <w:rPr>
          <w:rFonts w:ascii="Arial" w:hAnsi="Arial" w:cs="Arial"/>
          <w:sz w:val="22"/>
          <w:szCs w:val="22"/>
        </w:rPr>
        <w:instrText xml:space="preserve"> REF _Ref51657341 \h  \* MERGEFORMAT </w:instrText>
      </w:r>
      <w:r w:rsidRPr="001711E2">
        <w:rPr>
          <w:rFonts w:ascii="Arial" w:hAnsi="Arial" w:cs="Arial"/>
          <w:sz w:val="22"/>
          <w:szCs w:val="22"/>
        </w:rPr>
      </w:r>
      <w:r w:rsidRPr="001711E2">
        <w:rPr>
          <w:rFonts w:ascii="Arial" w:hAnsi="Arial" w:cs="Arial"/>
          <w:sz w:val="22"/>
          <w:szCs w:val="22"/>
        </w:rPr>
        <w:fldChar w:fldCharType="separate"/>
      </w:r>
      <w:r w:rsidRPr="001711E2">
        <w:rPr>
          <w:rFonts w:ascii="Arial" w:hAnsi="Arial" w:cs="Arial"/>
          <w:b/>
          <w:i/>
          <w:sz w:val="22"/>
          <w:szCs w:val="22"/>
        </w:rPr>
        <w:t xml:space="preserve">Table </w:t>
      </w:r>
      <w:r w:rsidR="00134E0A">
        <w:rPr>
          <w:rFonts w:ascii="Arial" w:hAnsi="Arial" w:cs="Arial"/>
          <w:b/>
          <w:i/>
          <w:sz w:val="22"/>
          <w:szCs w:val="22"/>
        </w:rPr>
        <w:t>1</w:t>
      </w:r>
      <w:r w:rsidRPr="002D73B6">
        <w:rPr>
          <w:rFonts w:ascii="Arial" w:hAnsi="Arial" w:cs="Arial"/>
          <w:sz w:val="22"/>
          <w:szCs w:val="22"/>
        </w:rPr>
        <w:t>: Overview of beneficiary calculations</w:t>
      </w:r>
      <w:r w:rsidRPr="001711E2">
        <w:rPr>
          <w:rFonts w:ascii="Arial" w:hAnsi="Arial" w:cs="Arial"/>
          <w:sz w:val="22"/>
          <w:szCs w:val="22"/>
        </w:rPr>
        <w:fldChar w:fldCharType="end"/>
      </w:r>
      <w:r w:rsidRPr="001711E2">
        <w:rPr>
          <w:rFonts w:ascii="Arial" w:hAnsi="Arial" w:cs="Arial"/>
          <w:b/>
          <w:i/>
          <w:sz w:val="22"/>
          <w:szCs w:val="22"/>
        </w:rPr>
        <w:t xml:space="preserve">. </w:t>
      </w:r>
      <w:r w:rsidRPr="001711E2">
        <w:rPr>
          <w:rFonts w:ascii="Arial" w:hAnsi="Arial" w:cs="Arial"/>
          <w:sz w:val="22"/>
          <w:szCs w:val="22"/>
        </w:rPr>
        <w:t>Indirect beneficiaries include all individuals residing in the 26 prioritized river systems</w:t>
      </w:r>
      <w:r>
        <w:rPr>
          <w:rFonts w:ascii="Arial" w:hAnsi="Arial" w:cs="Arial"/>
          <w:sz w:val="22"/>
          <w:szCs w:val="22"/>
        </w:rPr>
        <w:t>, which amounts to</w:t>
      </w:r>
      <w:r w:rsidRPr="001711E2">
        <w:rPr>
          <w:rFonts w:ascii="Arial" w:hAnsi="Arial" w:cs="Arial"/>
          <w:sz w:val="22"/>
          <w:szCs w:val="22"/>
        </w:rPr>
        <w:t xml:space="preserve"> almost 3.2 million people.</w:t>
      </w:r>
    </w:p>
    <w:p w14:paraId="2C81ECC1" w14:textId="78717ED3" w:rsidR="0090446C" w:rsidRPr="002D73B6" w:rsidRDefault="0090446C" w:rsidP="0090446C">
      <w:pPr>
        <w:pStyle w:val="Caption"/>
        <w:keepNext/>
        <w:spacing w:before="120" w:after="120" w:line="288" w:lineRule="auto"/>
        <w:jc w:val="both"/>
        <w:rPr>
          <w:rFonts w:ascii="Arial" w:hAnsi="Arial" w:cs="Arial"/>
          <w:color w:val="auto"/>
          <w:sz w:val="22"/>
          <w:szCs w:val="22"/>
        </w:rPr>
      </w:pPr>
      <w:bookmarkStart w:id="8" w:name="_Toc46562498"/>
      <w:bookmarkStart w:id="9" w:name="_Toc46588532"/>
      <w:bookmarkStart w:id="10" w:name="_Toc46677185"/>
      <w:bookmarkStart w:id="11" w:name="_Toc51607981"/>
      <w:bookmarkStart w:id="12" w:name="_Ref51657341"/>
      <w:r w:rsidRPr="002D73B6">
        <w:rPr>
          <w:rFonts w:ascii="Arial" w:hAnsi="Arial" w:cs="Arial"/>
          <w:color w:val="auto"/>
          <w:sz w:val="22"/>
          <w:szCs w:val="22"/>
        </w:rPr>
        <w:lastRenderedPageBreak/>
        <w:t xml:space="preserve">Table </w:t>
      </w:r>
      <w:r w:rsidR="00134E0A">
        <w:rPr>
          <w:rFonts w:ascii="Arial" w:hAnsi="Arial" w:cs="Arial"/>
          <w:color w:val="auto"/>
          <w:sz w:val="22"/>
          <w:szCs w:val="22"/>
        </w:rPr>
        <w:t>1</w:t>
      </w:r>
      <w:r w:rsidRPr="002D73B6">
        <w:rPr>
          <w:rFonts w:ascii="Arial" w:hAnsi="Arial" w:cs="Arial"/>
          <w:color w:val="auto"/>
          <w:sz w:val="22"/>
          <w:szCs w:val="22"/>
        </w:rPr>
        <w:t xml:space="preserve">: </w:t>
      </w:r>
      <w:bookmarkStart w:id="13" w:name="_Toc46562458"/>
      <w:r w:rsidRPr="002D73B6">
        <w:rPr>
          <w:rFonts w:ascii="Arial" w:hAnsi="Arial" w:cs="Arial"/>
          <w:color w:val="auto"/>
          <w:sz w:val="22"/>
          <w:szCs w:val="22"/>
        </w:rPr>
        <w:t>Overview of beneficiary calculations</w:t>
      </w:r>
      <w:bookmarkEnd w:id="8"/>
      <w:bookmarkEnd w:id="9"/>
      <w:bookmarkEnd w:id="10"/>
      <w:bookmarkEnd w:id="11"/>
      <w:bookmarkEnd w:id="12"/>
      <w:bookmarkEnd w:id="13"/>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533"/>
        <w:gridCol w:w="1607"/>
        <w:gridCol w:w="2567"/>
      </w:tblGrid>
      <w:tr w:rsidR="0090446C" w:rsidRPr="002D73B6" w14:paraId="1DE507D2" w14:textId="77777777" w:rsidTr="001711E2">
        <w:trPr>
          <w:trHeight w:hRule="exact" w:val="1222"/>
          <w:jc w:val="center"/>
        </w:trPr>
        <w:tc>
          <w:tcPr>
            <w:tcW w:w="2601" w:type="dxa"/>
            <w:shd w:val="clear" w:color="auto" w:fill="F2F2F2"/>
            <w:hideMark/>
          </w:tcPr>
          <w:p w14:paraId="0F647046"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sidRPr="002D73B6">
              <w:rPr>
                <w:rFonts w:ascii="Arial" w:hAnsi="Arial" w:cs="Arial"/>
                <w:b w:val="0"/>
                <w:color w:val="auto"/>
                <w:sz w:val="22"/>
                <w:szCs w:val="22"/>
                <w:lang w:val="en-US" w:bidi="en-US"/>
              </w:rPr>
              <w:t>Type of Community-based Organization (CBO)</w:t>
            </w:r>
          </w:p>
        </w:tc>
        <w:tc>
          <w:tcPr>
            <w:tcW w:w="2533" w:type="dxa"/>
            <w:shd w:val="clear" w:color="auto" w:fill="F2F2F2"/>
            <w:hideMark/>
          </w:tcPr>
          <w:p w14:paraId="1B33DDD6"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sidRPr="002D73B6">
              <w:rPr>
                <w:rFonts w:ascii="Arial" w:hAnsi="Arial" w:cs="Arial"/>
                <w:b w:val="0"/>
                <w:color w:val="auto"/>
                <w:sz w:val="22"/>
                <w:szCs w:val="22"/>
                <w:lang w:val="en-US" w:bidi="en-US"/>
              </w:rPr>
              <w:t>Average membership (# of households per CBO)</w:t>
            </w:r>
          </w:p>
        </w:tc>
        <w:tc>
          <w:tcPr>
            <w:tcW w:w="1607" w:type="dxa"/>
            <w:shd w:val="clear" w:color="auto" w:fill="F2F2F2"/>
            <w:hideMark/>
          </w:tcPr>
          <w:p w14:paraId="2FD21B42"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sidRPr="002D73B6">
              <w:rPr>
                <w:rFonts w:ascii="Arial" w:hAnsi="Arial" w:cs="Arial"/>
                <w:b w:val="0"/>
                <w:color w:val="auto"/>
                <w:sz w:val="22"/>
                <w:szCs w:val="22"/>
                <w:lang w:val="en-US" w:bidi="en-US"/>
              </w:rPr>
              <w:t>Number of CBOs to Target</w:t>
            </w:r>
          </w:p>
        </w:tc>
        <w:tc>
          <w:tcPr>
            <w:tcW w:w="2567" w:type="dxa"/>
            <w:shd w:val="clear" w:color="auto" w:fill="F2F2F2"/>
            <w:hideMark/>
          </w:tcPr>
          <w:p w14:paraId="2A6C7584"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sidRPr="002D73B6">
              <w:rPr>
                <w:rFonts w:ascii="Arial" w:hAnsi="Arial" w:cs="Arial"/>
                <w:b w:val="0"/>
                <w:color w:val="auto"/>
                <w:sz w:val="22"/>
                <w:szCs w:val="22"/>
                <w:lang w:val="en-US" w:bidi="en-US"/>
              </w:rPr>
              <w:t>No. of Households engaged in BRCRN project</w:t>
            </w:r>
          </w:p>
        </w:tc>
      </w:tr>
      <w:tr w:rsidR="0090446C" w:rsidRPr="002D73B6" w14:paraId="1F7C9283" w14:textId="77777777" w:rsidTr="001711E2">
        <w:trPr>
          <w:trHeight w:hRule="exact" w:val="802"/>
          <w:jc w:val="center"/>
        </w:trPr>
        <w:tc>
          <w:tcPr>
            <w:tcW w:w="2601" w:type="dxa"/>
            <w:hideMark/>
          </w:tcPr>
          <w:p w14:paraId="7669C5F9"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Pr>
                <w:rFonts w:ascii="Arial" w:hAnsi="Arial" w:cs="Arial"/>
                <w:b w:val="0"/>
                <w:color w:val="auto"/>
                <w:sz w:val="22"/>
                <w:szCs w:val="22"/>
                <w:lang w:val="en-US" w:bidi="en-US"/>
              </w:rPr>
              <w:t>Community Forest Users’ Group (</w:t>
            </w:r>
            <w:r w:rsidRPr="002D73B6">
              <w:rPr>
                <w:rFonts w:ascii="Arial" w:hAnsi="Arial" w:cs="Arial"/>
                <w:b w:val="0"/>
                <w:color w:val="auto"/>
                <w:sz w:val="22"/>
                <w:szCs w:val="22"/>
                <w:lang w:val="en-US" w:bidi="en-US"/>
              </w:rPr>
              <w:t>CFUG</w:t>
            </w:r>
            <w:r>
              <w:rPr>
                <w:rFonts w:ascii="Arial" w:hAnsi="Arial" w:cs="Arial"/>
                <w:b w:val="0"/>
                <w:color w:val="auto"/>
                <w:sz w:val="22"/>
                <w:szCs w:val="22"/>
                <w:lang w:val="en-US" w:bidi="en-US"/>
              </w:rPr>
              <w:t>)</w:t>
            </w:r>
          </w:p>
        </w:tc>
        <w:tc>
          <w:tcPr>
            <w:tcW w:w="2533" w:type="dxa"/>
            <w:noWrap/>
            <w:hideMark/>
          </w:tcPr>
          <w:p w14:paraId="52DCD49F"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180</w:t>
            </w:r>
          </w:p>
        </w:tc>
        <w:tc>
          <w:tcPr>
            <w:tcW w:w="1607" w:type="dxa"/>
            <w:noWrap/>
            <w:hideMark/>
          </w:tcPr>
          <w:p w14:paraId="7CD5B8A4"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557</w:t>
            </w:r>
          </w:p>
        </w:tc>
        <w:tc>
          <w:tcPr>
            <w:tcW w:w="2567" w:type="dxa"/>
            <w:noWrap/>
          </w:tcPr>
          <w:p w14:paraId="2E196676"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100</w:t>
            </w:r>
            <w:r>
              <w:rPr>
                <w:rFonts w:ascii="Arial" w:hAnsi="Arial" w:cs="Arial"/>
                <w:b w:val="0"/>
                <w:color w:val="auto"/>
                <w:sz w:val="22"/>
                <w:szCs w:val="22"/>
                <w:lang w:val="en-US" w:bidi="en-US"/>
              </w:rPr>
              <w:t>,</w:t>
            </w:r>
            <w:r w:rsidRPr="002D73B6">
              <w:rPr>
                <w:rFonts w:ascii="Arial" w:hAnsi="Arial" w:cs="Arial"/>
                <w:b w:val="0"/>
                <w:color w:val="auto"/>
                <w:sz w:val="22"/>
                <w:szCs w:val="22"/>
                <w:lang w:val="en-US" w:bidi="en-US"/>
              </w:rPr>
              <w:t>260</w:t>
            </w:r>
          </w:p>
        </w:tc>
      </w:tr>
      <w:tr w:rsidR="0090446C" w:rsidRPr="002D73B6" w14:paraId="1007C3D0" w14:textId="77777777" w:rsidTr="001711E2">
        <w:trPr>
          <w:trHeight w:hRule="exact" w:val="982"/>
          <w:jc w:val="center"/>
        </w:trPr>
        <w:tc>
          <w:tcPr>
            <w:tcW w:w="2601" w:type="dxa"/>
            <w:hideMark/>
          </w:tcPr>
          <w:p w14:paraId="090D76AC"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Pr>
                <w:rFonts w:ascii="Arial" w:hAnsi="Arial" w:cs="Arial"/>
                <w:b w:val="0"/>
                <w:color w:val="auto"/>
                <w:sz w:val="22"/>
                <w:szCs w:val="22"/>
                <w:lang w:val="en-US" w:bidi="en-US"/>
              </w:rPr>
              <w:t>Collaborative Forest Management (</w:t>
            </w:r>
            <w:proofErr w:type="spellStart"/>
            <w:r w:rsidRPr="002D73B6">
              <w:rPr>
                <w:rFonts w:ascii="Arial" w:hAnsi="Arial" w:cs="Arial"/>
                <w:b w:val="0"/>
                <w:color w:val="auto"/>
                <w:sz w:val="22"/>
                <w:szCs w:val="22"/>
                <w:lang w:val="en-US" w:bidi="en-US"/>
              </w:rPr>
              <w:t>CoFM</w:t>
            </w:r>
            <w:proofErr w:type="spellEnd"/>
            <w:r>
              <w:rPr>
                <w:rFonts w:ascii="Arial" w:hAnsi="Arial" w:cs="Arial"/>
                <w:b w:val="0"/>
                <w:color w:val="auto"/>
                <w:sz w:val="22"/>
                <w:szCs w:val="22"/>
                <w:lang w:val="en-US" w:bidi="en-US"/>
              </w:rPr>
              <w:t xml:space="preserve">) Committee </w:t>
            </w:r>
          </w:p>
        </w:tc>
        <w:tc>
          <w:tcPr>
            <w:tcW w:w="2533" w:type="dxa"/>
            <w:noWrap/>
            <w:hideMark/>
          </w:tcPr>
          <w:p w14:paraId="648E581C"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32,227</w:t>
            </w:r>
          </w:p>
        </w:tc>
        <w:tc>
          <w:tcPr>
            <w:tcW w:w="1607" w:type="dxa"/>
            <w:noWrap/>
            <w:hideMark/>
          </w:tcPr>
          <w:p w14:paraId="43D709C8"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3</w:t>
            </w:r>
          </w:p>
        </w:tc>
        <w:tc>
          <w:tcPr>
            <w:tcW w:w="2567" w:type="dxa"/>
            <w:noWrap/>
          </w:tcPr>
          <w:p w14:paraId="2B9F0ECE"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96</w:t>
            </w:r>
            <w:r>
              <w:rPr>
                <w:rFonts w:ascii="Arial" w:hAnsi="Arial" w:cs="Arial"/>
                <w:b w:val="0"/>
                <w:color w:val="auto"/>
                <w:sz w:val="22"/>
                <w:szCs w:val="22"/>
                <w:lang w:val="en-US" w:bidi="en-US"/>
              </w:rPr>
              <w:t>,</w:t>
            </w:r>
            <w:r w:rsidRPr="002D73B6">
              <w:rPr>
                <w:rFonts w:ascii="Arial" w:hAnsi="Arial" w:cs="Arial"/>
                <w:b w:val="0"/>
                <w:color w:val="auto"/>
                <w:sz w:val="22"/>
                <w:szCs w:val="22"/>
                <w:lang w:val="en-US" w:bidi="en-US"/>
              </w:rPr>
              <w:t>681</w:t>
            </w:r>
          </w:p>
        </w:tc>
      </w:tr>
      <w:tr w:rsidR="0090446C" w:rsidRPr="002D73B6" w14:paraId="550771BB" w14:textId="77777777" w:rsidTr="001711E2">
        <w:trPr>
          <w:trHeight w:hRule="exact" w:val="1081"/>
          <w:jc w:val="center"/>
        </w:trPr>
        <w:tc>
          <w:tcPr>
            <w:tcW w:w="2601" w:type="dxa"/>
            <w:hideMark/>
          </w:tcPr>
          <w:p w14:paraId="14EFC746"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Pr>
                <w:rFonts w:ascii="Arial" w:hAnsi="Arial" w:cs="Arial"/>
                <w:b w:val="0"/>
                <w:color w:val="auto"/>
                <w:sz w:val="22"/>
                <w:szCs w:val="22"/>
                <w:lang w:val="en-US" w:bidi="en-US"/>
              </w:rPr>
              <w:t>Farmers Group (</w:t>
            </w:r>
            <w:proofErr w:type="gramStart"/>
            <w:r w:rsidRPr="002D73B6">
              <w:rPr>
                <w:rFonts w:ascii="Arial" w:hAnsi="Arial" w:cs="Arial"/>
                <w:b w:val="0"/>
                <w:color w:val="auto"/>
                <w:sz w:val="22"/>
                <w:szCs w:val="22"/>
                <w:lang w:val="en-US" w:bidi="en-US"/>
              </w:rPr>
              <w:t>FG</w:t>
            </w:r>
            <w:r>
              <w:rPr>
                <w:rFonts w:ascii="Arial" w:hAnsi="Arial" w:cs="Arial"/>
                <w:b w:val="0"/>
                <w:color w:val="auto"/>
                <w:sz w:val="22"/>
                <w:szCs w:val="22"/>
                <w:lang w:val="en-US" w:bidi="en-US"/>
              </w:rPr>
              <w:t>)</w:t>
            </w:r>
            <w:r w:rsidRPr="002D73B6">
              <w:rPr>
                <w:rFonts w:ascii="Arial" w:hAnsi="Arial" w:cs="Arial"/>
                <w:b w:val="0"/>
                <w:color w:val="auto"/>
                <w:sz w:val="22"/>
                <w:szCs w:val="22"/>
                <w:lang w:val="en-US" w:bidi="en-US"/>
              </w:rPr>
              <w:t xml:space="preserve">  and</w:t>
            </w:r>
            <w:proofErr w:type="gramEnd"/>
            <w:r>
              <w:rPr>
                <w:rFonts w:ascii="Arial" w:hAnsi="Arial" w:cs="Arial"/>
                <w:b w:val="0"/>
                <w:color w:val="auto"/>
                <w:sz w:val="22"/>
                <w:szCs w:val="22"/>
                <w:lang w:val="en-US" w:bidi="en-US"/>
              </w:rPr>
              <w:t xml:space="preserve"> Soil Conservation Users’ Group (</w:t>
            </w:r>
            <w:r w:rsidRPr="002D73B6">
              <w:rPr>
                <w:rFonts w:ascii="Arial" w:hAnsi="Arial" w:cs="Arial"/>
                <w:b w:val="0"/>
                <w:color w:val="auto"/>
                <w:sz w:val="22"/>
                <w:szCs w:val="22"/>
                <w:lang w:val="en-US" w:bidi="en-US"/>
              </w:rPr>
              <w:t>SCUG</w:t>
            </w:r>
            <w:r>
              <w:rPr>
                <w:rFonts w:ascii="Arial" w:hAnsi="Arial" w:cs="Arial"/>
                <w:b w:val="0"/>
                <w:color w:val="auto"/>
                <w:sz w:val="22"/>
                <w:szCs w:val="22"/>
                <w:lang w:val="en-US" w:bidi="en-US"/>
              </w:rPr>
              <w:t>)</w:t>
            </w:r>
          </w:p>
        </w:tc>
        <w:tc>
          <w:tcPr>
            <w:tcW w:w="2533" w:type="dxa"/>
            <w:noWrap/>
            <w:hideMark/>
          </w:tcPr>
          <w:p w14:paraId="4DBC918F"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40</w:t>
            </w:r>
          </w:p>
        </w:tc>
        <w:tc>
          <w:tcPr>
            <w:tcW w:w="1607" w:type="dxa"/>
            <w:noWrap/>
            <w:hideMark/>
          </w:tcPr>
          <w:p w14:paraId="5628FF94"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50</w:t>
            </w:r>
          </w:p>
        </w:tc>
        <w:tc>
          <w:tcPr>
            <w:tcW w:w="2567" w:type="dxa"/>
            <w:noWrap/>
          </w:tcPr>
          <w:p w14:paraId="7DE1A86E"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2</w:t>
            </w:r>
            <w:r>
              <w:rPr>
                <w:rFonts w:ascii="Arial" w:hAnsi="Arial" w:cs="Arial"/>
                <w:b w:val="0"/>
                <w:color w:val="auto"/>
                <w:sz w:val="22"/>
                <w:szCs w:val="22"/>
                <w:lang w:val="en-US" w:bidi="en-US"/>
              </w:rPr>
              <w:t>,</w:t>
            </w:r>
            <w:r w:rsidRPr="002D73B6">
              <w:rPr>
                <w:rFonts w:ascii="Arial" w:hAnsi="Arial" w:cs="Arial"/>
                <w:b w:val="0"/>
                <w:color w:val="auto"/>
                <w:sz w:val="22"/>
                <w:szCs w:val="22"/>
                <w:lang w:val="en-US" w:bidi="en-US"/>
              </w:rPr>
              <w:t>000</w:t>
            </w:r>
          </w:p>
        </w:tc>
      </w:tr>
      <w:tr w:rsidR="0090446C" w:rsidRPr="002D73B6" w14:paraId="0D48B447" w14:textId="77777777" w:rsidTr="001711E2">
        <w:trPr>
          <w:trHeight w:hRule="exact" w:val="820"/>
          <w:jc w:val="center"/>
        </w:trPr>
        <w:tc>
          <w:tcPr>
            <w:tcW w:w="2601" w:type="dxa"/>
            <w:hideMark/>
          </w:tcPr>
          <w:p w14:paraId="19A2F0D2"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Pr>
                <w:rFonts w:ascii="Arial" w:hAnsi="Arial" w:cs="Arial"/>
                <w:b w:val="0"/>
                <w:color w:val="auto"/>
                <w:sz w:val="22"/>
                <w:szCs w:val="22"/>
                <w:lang w:val="en-US" w:bidi="en-US"/>
              </w:rPr>
              <w:t>Public Land Forests Users’ Group (</w:t>
            </w:r>
            <w:r w:rsidRPr="002D73B6">
              <w:rPr>
                <w:rFonts w:ascii="Arial" w:hAnsi="Arial" w:cs="Arial"/>
                <w:b w:val="0"/>
                <w:color w:val="auto"/>
                <w:sz w:val="22"/>
                <w:szCs w:val="22"/>
                <w:lang w:val="en-US" w:bidi="en-US"/>
              </w:rPr>
              <w:t>PLFUG</w:t>
            </w:r>
            <w:r>
              <w:rPr>
                <w:rFonts w:ascii="Arial" w:hAnsi="Arial" w:cs="Arial"/>
                <w:b w:val="0"/>
                <w:color w:val="auto"/>
                <w:sz w:val="22"/>
                <w:szCs w:val="22"/>
                <w:lang w:val="en-US" w:bidi="en-US"/>
              </w:rPr>
              <w:t>)</w:t>
            </w:r>
          </w:p>
        </w:tc>
        <w:tc>
          <w:tcPr>
            <w:tcW w:w="2533" w:type="dxa"/>
            <w:noWrap/>
            <w:hideMark/>
          </w:tcPr>
          <w:p w14:paraId="1AFD729F"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15</w:t>
            </w:r>
          </w:p>
        </w:tc>
        <w:tc>
          <w:tcPr>
            <w:tcW w:w="1607" w:type="dxa"/>
            <w:noWrap/>
            <w:hideMark/>
          </w:tcPr>
          <w:p w14:paraId="0822F86F"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100</w:t>
            </w:r>
          </w:p>
        </w:tc>
        <w:tc>
          <w:tcPr>
            <w:tcW w:w="2567" w:type="dxa"/>
            <w:noWrap/>
          </w:tcPr>
          <w:p w14:paraId="40A1766B"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1</w:t>
            </w:r>
            <w:r>
              <w:rPr>
                <w:rFonts w:ascii="Arial" w:hAnsi="Arial" w:cs="Arial"/>
                <w:b w:val="0"/>
                <w:color w:val="auto"/>
                <w:sz w:val="22"/>
                <w:szCs w:val="22"/>
                <w:lang w:val="en-US" w:bidi="en-US"/>
              </w:rPr>
              <w:t>,</w:t>
            </w:r>
            <w:r w:rsidRPr="002D73B6">
              <w:rPr>
                <w:rFonts w:ascii="Arial" w:hAnsi="Arial" w:cs="Arial"/>
                <w:b w:val="0"/>
                <w:color w:val="auto"/>
                <w:sz w:val="22"/>
                <w:szCs w:val="22"/>
                <w:lang w:val="en-US" w:bidi="en-US"/>
              </w:rPr>
              <w:t>500</w:t>
            </w:r>
          </w:p>
        </w:tc>
      </w:tr>
      <w:tr w:rsidR="0090446C" w:rsidRPr="002D73B6" w14:paraId="56A0A307" w14:textId="77777777" w:rsidTr="001711E2">
        <w:trPr>
          <w:trHeight w:hRule="exact" w:val="982"/>
          <w:jc w:val="center"/>
        </w:trPr>
        <w:tc>
          <w:tcPr>
            <w:tcW w:w="2601" w:type="dxa"/>
            <w:hideMark/>
          </w:tcPr>
          <w:p w14:paraId="3938AD42"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Pr>
                <w:rFonts w:ascii="Arial" w:hAnsi="Arial" w:cs="Arial"/>
                <w:b w:val="0"/>
                <w:color w:val="auto"/>
                <w:sz w:val="22"/>
                <w:szCs w:val="22"/>
                <w:lang w:val="en-US" w:bidi="en-US"/>
              </w:rPr>
              <w:t>Pro-poor Leasehold Forest Users’ Group (</w:t>
            </w:r>
            <w:r w:rsidRPr="002D73B6">
              <w:rPr>
                <w:rFonts w:ascii="Arial" w:hAnsi="Arial" w:cs="Arial"/>
                <w:b w:val="0"/>
                <w:color w:val="auto"/>
                <w:sz w:val="22"/>
                <w:szCs w:val="22"/>
                <w:lang w:val="en-US" w:bidi="en-US"/>
              </w:rPr>
              <w:t>PP-LFG</w:t>
            </w:r>
            <w:r>
              <w:rPr>
                <w:rFonts w:ascii="Arial" w:hAnsi="Arial" w:cs="Arial"/>
                <w:b w:val="0"/>
                <w:color w:val="auto"/>
                <w:sz w:val="22"/>
                <w:szCs w:val="22"/>
                <w:lang w:val="en-US" w:bidi="en-US"/>
              </w:rPr>
              <w:t>)</w:t>
            </w:r>
          </w:p>
        </w:tc>
        <w:tc>
          <w:tcPr>
            <w:tcW w:w="2533" w:type="dxa"/>
            <w:noWrap/>
            <w:hideMark/>
          </w:tcPr>
          <w:p w14:paraId="4E5B8FEC"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6</w:t>
            </w:r>
          </w:p>
        </w:tc>
        <w:tc>
          <w:tcPr>
            <w:tcW w:w="1607" w:type="dxa"/>
            <w:noWrap/>
            <w:hideMark/>
          </w:tcPr>
          <w:p w14:paraId="29AD2D7F"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40</w:t>
            </w:r>
          </w:p>
        </w:tc>
        <w:tc>
          <w:tcPr>
            <w:tcW w:w="2567" w:type="dxa"/>
            <w:noWrap/>
          </w:tcPr>
          <w:p w14:paraId="73B73607"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240</w:t>
            </w:r>
          </w:p>
        </w:tc>
      </w:tr>
      <w:tr w:rsidR="0090446C" w:rsidRPr="002D73B6" w14:paraId="55B8343F" w14:textId="77777777" w:rsidTr="001711E2">
        <w:trPr>
          <w:jc w:val="center"/>
        </w:trPr>
        <w:tc>
          <w:tcPr>
            <w:tcW w:w="2601" w:type="dxa"/>
            <w:hideMark/>
          </w:tcPr>
          <w:p w14:paraId="6B9B2060" w14:textId="77777777" w:rsidR="0090446C" w:rsidRDefault="0090446C" w:rsidP="001711E2">
            <w:pPr>
              <w:pStyle w:val="Caption"/>
              <w:spacing w:before="120" w:after="120" w:line="288" w:lineRule="auto"/>
              <w:rPr>
                <w:rFonts w:ascii="Arial" w:hAnsi="Arial" w:cs="Arial"/>
                <w:b w:val="0"/>
                <w:color w:val="auto"/>
                <w:sz w:val="22"/>
                <w:szCs w:val="22"/>
                <w:lang w:val="en-US" w:bidi="en-US"/>
              </w:rPr>
            </w:pPr>
            <w:r w:rsidRPr="002D73B6">
              <w:rPr>
                <w:rFonts w:ascii="Arial" w:hAnsi="Arial" w:cs="Arial"/>
                <w:b w:val="0"/>
                <w:color w:val="auto"/>
                <w:sz w:val="22"/>
                <w:szCs w:val="22"/>
                <w:lang w:val="en-US" w:bidi="en-US"/>
              </w:rPr>
              <w:t>Total</w:t>
            </w:r>
          </w:p>
        </w:tc>
        <w:tc>
          <w:tcPr>
            <w:tcW w:w="2533" w:type="dxa"/>
            <w:noWrap/>
            <w:hideMark/>
          </w:tcPr>
          <w:p w14:paraId="3936051A"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N/A</w:t>
            </w:r>
          </w:p>
        </w:tc>
        <w:tc>
          <w:tcPr>
            <w:tcW w:w="1607" w:type="dxa"/>
            <w:noWrap/>
            <w:hideMark/>
          </w:tcPr>
          <w:p w14:paraId="686E8498"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750</w:t>
            </w:r>
          </w:p>
        </w:tc>
        <w:tc>
          <w:tcPr>
            <w:tcW w:w="2567" w:type="dxa"/>
            <w:noWrap/>
          </w:tcPr>
          <w:p w14:paraId="72E1A65D" w14:textId="77777777" w:rsidR="0090446C" w:rsidRDefault="0090446C" w:rsidP="001711E2">
            <w:pPr>
              <w:pStyle w:val="Caption"/>
              <w:spacing w:before="120" w:after="120" w:line="288" w:lineRule="auto"/>
              <w:jc w:val="right"/>
              <w:rPr>
                <w:rFonts w:ascii="Arial" w:hAnsi="Arial" w:cs="Arial"/>
                <w:b w:val="0"/>
                <w:color w:val="auto"/>
                <w:sz w:val="22"/>
                <w:szCs w:val="22"/>
                <w:lang w:val="en-US" w:bidi="en-US"/>
              </w:rPr>
            </w:pPr>
            <w:r w:rsidRPr="002D73B6">
              <w:rPr>
                <w:rFonts w:ascii="Arial" w:hAnsi="Arial" w:cs="Arial"/>
                <w:b w:val="0"/>
                <w:color w:val="auto"/>
                <w:sz w:val="22"/>
                <w:szCs w:val="22"/>
                <w:lang w:val="en-US" w:bidi="en-US"/>
              </w:rPr>
              <w:t>200,681</w:t>
            </w:r>
          </w:p>
        </w:tc>
      </w:tr>
    </w:tbl>
    <w:p w14:paraId="16B93579" w14:textId="13023914" w:rsidR="0090446C" w:rsidRPr="001711E2" w:rsidRDefault="0090446C" w:rsidP="0090446C">
      <w:pPr>
        <w:pStyle w:val="ListParagraph"/>
        <w:numPr>
          <w:ilvl w:val="0"/>
          <w:numId w:val="4"/>
        </w:numPr>
        <w:tabs>
          <w:tab w:val="left" w:pos="0"/>
        </w:tabs>
        <w:spacing w:before="120" w:after="120" w:line="288" w:lineRule="auto"/>
        <w:contextualSpacing w:val="0"/>
        <w:jc w:val="both"/>
        <w:rPr>
          <w:rFonts w:ascii="Arial" w:hAnsi="Arial" w:cs="Arial"/>
          <w:sz w:val="22"/>
          <w:szCs w:val="22"/>
        </w:rPr>
      </w:pPr>
      <w:r w:rsidRPr="001711E2">
        <w:rPr>
          <w:rFonts w:ascii="Arial" w:hAnsi="Arial" w:cs="Arial"/>
          <w:bCs/>
          <w:sz w:val="22"/>
          <w:szCs w:val="22"/>
        </w:rPr>
        <w:t>Furthermore, at least one Indigenous Peoples Organization (IPO) in each province will also be among the direct beneficiary CBO</w:t>
      </w:r>
      <w:r>
        <w:rPr>
          <w:rFonts w:ascii="Arial" w:hAnsi="Arial" w:cs="Arial"/>
          <w:bCs/>
          <w:sz w:val="22"/>
          <w:szCs w:val="22"/>
        </w:rPr>
        <w:t>s</w:t>
      </w:r>
      <w:r w:rsidRPr="001711E2">
        <w:rPr>
          <w:rFonts w:ascii="Arial" w:hAnsi="Arial" w:cs="Arial"/>
          <w:bCs/>
          <w:sz w:val="22"/>
          <w:szCs w:val="22"/>
        </w:rPr>
        <w:t>.</w:t>
      </w:r>
      <w:r>
        <w:rPr>
          <w:rFonts w:ascii="Arial" w:hAnsi="Arial" w:cs="Arial"/>
          <w:bCs/>
          <w:sz w:val="22"/>
          <w:szCs w:val="22"/>
        </w:rPr>
        <w:t xml:space="preserve"> </w:t>
      </w:r>
      <w:r w:rsidRPr="001711E2">
        <w:rPr>
          <w:rFonts w:ascii="Arial" w:hAnsi="Arial" w:cs="Arial"/>
          <w:bCs/>
          <w:sz w:val="22"/>
          <w:szCs w:val="22"/>
        </w:rPr>
        <w:t xml:space="preserve">It is expected that this will not add to the total number of beneficiary households; the members of these IPOs will also be members of other CBOs (CFUGs etc). The IPOs will be targeted as beneficiary CBOs for particular project activities, in consultation with Indigenous People (IP) representative bodies </w:t>
      </w:r>
      <w:proofErr w:type="gramStart"/>
      <w:r w:rsidRPr="001711E2">
        <w:rPr>
          <w:rFonts w:ascii="Arial" w:hAnsi="Arial" w:cs="Arial"/>
          <w:bCs/>
          <w:sz w:val="22"/>
          <w:szCs w:val="22"/>
        </w:rPr>
        <w:t>e.g.</w:t>
      </w:r>
      <w:proofErr w:type="gramEnd"/>
      <w:r w:rsidRPr="001711E2">
        <w:rPr>
          <w:rFonts w:ascii="Arial" w:hAnsi="Arial" w:cs="Arial"/>
          <w:bCs/>
          <w:sz w:val="22"/>
          <w:szCs w:val="22"/>
        </w:rPr>
        <w:t xml:space="preserve"> Nepal Federation of Indigenous </w:t>
      </w:r>
      <w:r w:rsidR="003006BA" w:rsidRPr="001711E2">
        <w:rPr>
          <w:rFonts w:ascii="Arial" w:hAnsi="Arial" w:cs="Arial"/>
          <w:bCs/>
          <w:sz w:val="22"/>
          <w:szCs w:val="22"/>
        </w:rPr>
        <w:t>Nationalities</w:t>
      </w:r>
      <w:r w:rsidRPr="001711E2">
        <w:rPr>
          <w:rFonts w:ascii="Arial" w:hAnsi="Arial" w:cs="Arial"/>
          <w:bCs/>
          <w:sz w:val="22"/>
          <w:szCs w:val="22"/>
        </w:rPr>
        <w:t xml:space="preserve"> (NEFIN). This project will also benefit professional staff of </w:t>
      </w:r>
      <w:proofErr w:type="spellStart"/>
      <w:r w:rsidRPr="001711E2">
        <w:rPr>
          <w:rFonts w:ascii="Arial" w:hAnsi="Arial" w:cs="Arial"/>
          <w:bCs/>
          <w:sz w:val="22"/>
          <w:szCs w:val="22"/>
        </w:rPr>
        <w:t>MoFE</w:t>
      </w:r>
      <w:proofErr w:type="spellEnd"/>
      <w:r w:rsidRPr="001711E2">
        <w:rPr>
          <w:rFonts w:ascii="Arial" w:hAnsi="Arial" w:cs="Arial"/>
          <w:bCs/>
          <w:sz w:val="22"/>
          <w:szCs w:val="22"/>
        </w:rPr>
        <w:t xml:space="preserve">, </w:t>
      </w:r>
      <w:r>
        <w:rPr>
          <w:rFonts w:ascii="Arial" w:hAnsi="Arial" w:cs="Arial"/>
          <w:bCs/>
          <w:sz w:val="22"/>
          <w:szCs w:val="22"/>
        </w:rPr>
        <w:t xml:space="preserve">provincial </w:t>
      </w:r>
      <w:r w:rsidRPr="001711E2">
        <w:rPr>
          <w:rFonts w:ascii="Arial" w:hAnsi="Arial" w:cs="Arial"/>
          <w:bCs/>
          <w:sz w:val="22"/>
          <w:szCs w:val="22"/>
        </w:rPr>
        <w:t>Ministr</w:t>
      </w:r>
      <w:r>
        <w:rPr>
          <w:rFonts w:ascii="Arial" w:hAnsi="Arial" w:cs="Arial"/>
          <w:bCs/>
          <w:sz w:val="22"/>
          <w:szCs w:val="22"/>
        </w:rPr>
        <w:t>ies</w:t>
      </w:r>
      <w:r w:rsidRPr="001711E2">
        <w:rPr>
          <w:rFonts w:ascii="Arial" w:hAnsi="Arial" w:cs="Arial"/>
          <w:bCs/>
          <w:sz w:val="22"/>
          <w:szCs w:val="22"/>
        </w:rPr>
        <w:t xml:space="preserve"> of Industry, Tourism, Forests and Environment (</w:t>
      </w:r>
      <w:proofErr w:type="spellStart"/>
      <w:r w:rsidRPr="001711E2">
        <w:rPr>
          <w:rFonts w:ascii="Arial" w:hAnsi="Arial" w:cs="Arial"/>
          <w:bCs/>
          <w:sz w:val="22"/>
          <w:szCs w:val="22"/>
        </w:rPr>
        <w:t>MoITFE</w:t>
      </w:r>
      <w:proofErr w:type="spellEnd"/>
      <w:r w:rsidRPr="001711E2">
        <w:rPr>
          <w:rFonts w:ascii="Arial" w:hAnsi="Arial" w:cs="Arial"/>
          <w:bCs/>
          <w:sz w:val="22"/>
          <w:szCs w:val="22"/>
        </w:rPr>
        <w:t>)</w:t>
      </w:r>
      <w:r w:rsidRPr="001711E2">
        <w:rPr>
          <w:rFonts w:ascii="Arial" w:hAnsi="Arial" w:cs="Arial"/>
          <w:sz w:val="22"/>
          <w:szCs w:val="22"/>
        </w:rPr>
        <w:t>, Ministr</w:t>
      </w:r>
      <w:r>
        <w:rPr>
          <w:rFonts w:ascii="Arial" w:hAnsi="Arial" w:cs="Arial"/>
          <w:sz w:val="22"/>
          <w:szCs w:val="22"/>
        </w:rPr>
        <w:t>ies</w:t>
      </w:r>
      <w:r w:rsidRPr="001711E2">
        <w:rPr>
          <w:rFonts w:ascii="Arial" w:hAnsi="Arial" w:cs="Arial"/>
          <w:sz w:val="22"/>
          <w:szCs w:val="22"/>
        </w:rPr>
        <w:t xml:space="preserve"> of Land Management, Agriculture and Cooperative</w:t>
      </w:r>
      <w:r>
        <w:rPr>
          <w:rFonts w:ascii="Arial" w:hAnsi="Arial" w:cs="Arial"/>
          <w:sz w:val="22"/>
          <w:szCs w:val="22"/>
        </w:rPr>
        <w:t>s</w:t>
      </w:r>
      <w:r w:rsidRPr="001711E2">
        <w:rPr>
          <w:rFonts w:ascii="Arial" w:hAnsi="Arial" w:cs="Arial"/>
          <w:sz w:val="22"/>
          <w:szCs w:val="22"/>
        </w:rPr>
        <w:t xml:space="preserve"> (</w:t>
      </w:r>
      <w:proofErr w:type="spellStart"/>
      <w:r w:rsidRPr="001711E2">
        <w:rPr>
          <w:rFonts w:ascii="Arial" w:hAnsi="Arial" w:cs="Arial"/>
          <w:sz w:val="22"/>
          <w:szCs w:val="22"/>
        </w:rPr>
        <w:t>MoLMAC</w:t>
      </w:r>
      <w:proofErr w:type="spellEnd"/>
      <w:r w:rsidRPr="001711E2">
        <w:rPr>
          <w:rFonts w:ascii="Arial" w:hAnsi="Arial" w:cs="Arial"/>
          <w:sz w:val="22"/>
          <w:szCs w:val="22"/>
        </w:rPr>
        <w:t xml:space="preserve">) and others. They also benefit as “Professional Beneficiaries”. </w:t>
      </w:r>
    </w:p>
    <w:p w14:paraId="32760BD5" w14:textId="6289CDD1" w:rsidR="0090446C" w:rsidRPr="00134E0A" w:rsidRDefault="0090446C" w:rsidP="00134E0A">
      <w:pPr>
        <w:pStyle w:val="ListParagraph"/>
        <w:numPr>
          <w:ilvl w:val="0"/>
          <w:numId w:val="4"/>
        </w:numPr>
        <w:tabs>
          <w:tab w:val="left" w:pos="0"/>
        </w:tabs>
        <w:spacing w:before="120" w:after="120" w:line="288" w:lineRule="auto"/>
        <w:contextualSpacing w:val="0"/>
        <w:jc w:val="both"/>
      </w:pPr>
      <w:r w:rsidRPr="00134E0A">
        <w:rPr>
          <w:rFonts w:ascii="Arial" w:hAnsi="Arial" w:cs="Arial"/>
          <w:sz w:val="22"/>
          <w:szCs w:val="22"/>
        </w:rPr>
        <w:t xml:space="preserve">Activity interventions will be targeted towards different bio-geographical zones and contexts, with a focus on the </w:t>
      </w:r>
      <w:proofErr w:type="spellStart"/>
      <w:r w:rsidRPr="00134E0A">
        <w:rPr>
          <w:rFonts w:ascii="Arial" w:hAnsi="Arial" w:cs="Arial"/>
          <w:sz w:val="22"/>
          <w:szCs w:val="22"/>
        </w:rPr>
        <w:t>Churia</w:t>
      </w:r>
      <w:proofErr w:type="spellEnd"/>
      <w:r w:rsidRPr="00134E0A">
        <w:rPr>
          <w:rFonts w:ascii="Arial" w:hAnsi="Arial" w:cs="Arial"/>
          <w:sz w:val="22"/>
          <w:szCs w:val="22"/>
        </w:rPr>
        <w:t xml:space="preserve">, </w:t>
      </w:r>
      <w:proofErr w:type="spellStart"/>
      <w:r w:rsidRPr="00134E0A">
        <w:rPr>
          <w:rFonts w:ascii="Arial" w:hAnsi="Arial" w:cs="Arial"/>
          <w:sz w:val="22"/>
          <w:szCs w:val="22"/>
        </w:rPr>
        <w:t>Bhavar</w:t>
      </w:r>
      <w:proofErr w:type="spellEnd"/>
      <w:r w:rsidRPr="00134E0A">
        <w:rPr>
          <w:rFonts w:ascii="Arial" w:hAnsi="Arial" w:cs="Arial"/>
          <w:sz w:val="22"/>
          <w:szCs w:val="22"/>
        </w:rPr>
        <w:t xml:space="preserve"> and Upstream Terai</w:t>
      </w:r>
      <w:r w:rsidR="00134E0A">
        <w:rPr>
          <w:rFonts w:ascii="Arial" w:hAnsi="Arial" w:cs="Arial"/>
          <w:sz w:val="22"/>
          <w:szCs w:val="22"/>
        </w:rPr>
        <w:t xml:space="preserve"> above east-west highway. </w:t>
      </w:r>
      <w:r w:rsidRPr="00134E0A">
        <w:rPr>
          <w:rFonts w:ascii="Arial" w:hAnsi="Arial" w:cs="Arial"/>
          <w:sz w:val="22"/>
          <w:szCs w:val="22"/>
        </w:rPr>
        <w:t xml:space="preserve"> </w:t>
      </w:r>
    </w:p>
    <w:p w14:paraId="1F7684FF" w14:textId="77777777" w:rsidR="00134E0A" w:rsidRDefault="00134E0A">
      <w:pPr>
        <w:rPr>
          <w:rFonts w:ascii="Arial" w:eastAsiaTheme="majorEastAsia" w:hAnsi="Arial" w:cs="Arial"/>
          <w:b/>
          <w:bCs/>
          <w:color w:val="000000"/>
          <w:sz w:val="28"/>
          <w:szCs w:val="28"/>
        </w:rPr>
      </w:pPr>
      <w:bookmarkStart w:id="14" w:name="_Toc51655919"/>
      <w:r>
        <w:rPr>
          <w:rFonts w:ascii="Arial" w:hAnsi="Arial" w:cs="Arial"/>
          <w:b/>
          <w:bCs/>
          <w:color w:val="000000"/>
          <w:sz w:val="28"/>
          <w:szCs w:val="28"/>
        </w:rPr>
        <w:br w:type="page"/>
      </w:r>
    </w:p>
    <w:p w14:paraId="62E7FCE0" w14:textId="4B036749" w:rsidR="00134E0A" w:rsidRPr="00033A73" w:rsidRDefault="00033A73" w:rsidP="00134E0A">
      <w:pPr>
        <w:pStyle w:val="Heading1"/>
        <w:spacing w:before="120" w:line="312" w:lineRule="auto"/>
        <w:jc w:val="center"/>
        <w:rPr>
          <w:rFonts w:ascii="Arial" w:hAnsi="Arial" w:cs="Arial"/>
          <w:b/>
          <w:bCs/>
          <w:color w:val="00B050"/>
          <w:sz w:val="28"/>
          <w:szCs w:val="28"/>
        </w:rPr>
      </w:pPr>
      <w:r w:rsidRPr="00033A73">
        <w:rPr>
          <w:rFonts w:ascii="Arial" w:hAnsi="Arial" w:cs="Arial"/>
          <w:b/>
          <w:bCs/>
          <w:color w:val="00B050"/>
          <w:sz w:val="28"/>
          <w:szCs w:val="28"/>
        </w:rPr>
        <w:lastRenderedPageBreak/>
        <w:t>Implementation arrangement</w:t>
      </w:r>
      <w:bookmarkEnd w:id="14"/>
    </w:p>
    <w:p w14:paraId="78DD00E0" w14:textId="0510BAE0" w:rsidR="00134E0A" w:rsidRPr="001711E2" w:rsidRDefault="00134E0A" w:rsidP="00134E0A">
      <w:pPr>
        <w:pStyle w:val="ListParagraph"/>
        <w:numPr>
          <w:ilvl w:val="0"/>
          <w:numId w:val="5"/>
        </w:numPr>
        <w:tabs>
          <w:tab w:val="left" w:pos="0"/>
        </w:tabs>
        <w:spacing w:before="120" w:after="120" w:line="288" w:lineRule="auto"/>
        <w:contextualSpacing w:val="0"/>
        <w:jc w:val="both"/>
        <w:rPr>
          <w:rFonts w:ascii="Arial" w:hAnsi="Arial" w:cs="Arial"/>
          <w:sz w:val="22"/>
          <w:szCs w:val="22"/>
        </w:rPr>
      </w:pPr>
      <w:r w:rsidRPr="001711E2">
        <w:rPr>
          <w:rFonts w:ascii="Arial" w:hAnsi="Arial" w:cs="Arial"/>
          <w:sz w:val="22"/>
          <w:szCs w:val="22"/>
        </w:rPr>
        <w:t>The F</w:t>
      </w:r>
      <w:r>
        <w:rPr>
          <w:rFonts w:ascii="Arial" w:hAnsi="Arial" w:cs="Arial"/>
          <w:sz w:val="22"/>
          <w:szCs w:val="22"/>
        </w:rPr>
        <w:t xml:space="preserve">ood and Agriculture Organization (FAO) </w:t>
      </w:r>
      <w:r w:rsidRPr="001711E2">
        <w:rPr>
          <w:rFonts w:ascii="Arial" w:hAnsi="Arial" w:cs="Arial"/>
          <w:sz w:val="22"/>
          <w:szCs w:val="22"/>
        </w:rPr>
        <w:t xml:space="preserve">and the </w:t>
      </w:r>
      <w:r>
        <w:rPr>
          <w:rFonts w:ascii="Arial" w:hAnsi="Arial" w:cs="Arial"/>
          <w:sz w:val="22"/>
          <w:szCs w:val="22"/>
        </w:rPr>
        <w:t>Green Climate Fund (</w:t>
      </w:r>
      <w:r w:rsidRPr="001711E2">
        <w:rPr>
          <w:rFonts w:ascii="Arial" w:hAnsi="Arial" w:cs="Arial"/>
          <w:sz w:val="22"/>
          <w:szCs w:val="22"/>
        </w:rPr>
        <w:t>GCF</w:t>
      </w:r>
      <w:r>
        <w:rPr>
          <w:rFonts w:ascii="Arial" w:hAnsi="Arial" w:cs="Arial"/>
          <w:sz w:val="22"/>
          <w:szCs w:val="22"/>
        </w:rPr>
        <w:t>)</w:t>
      </w:r>
      <w:r w:rsidRPr="001711E2">
        <w:rPr>
          <w:rFonts w:ascii="Arial" w:hAnsi="Arial" w:cs="Arial"/>
          <w:sz w:val="22"/>
          <w:szCs w:val="22"/>
        </w:rPr>
        <w:t xml:space="preserve"> entered into an Accreditation Master Agreement (“AMA”) on 8</w:t>
      </w:r>
      <w:r w:rsidRPr="001711E2">
        <w:rPr>
          <w:rFonts w:ascii="Arial" w:hAnsi="Arial" w:cs="Arial"/>
          <w:sz w:val="22"/>
          <w:szCs w:val="22"/>
          <w:vertAlign w:val="superscript"/>
        </w:rPr>
        <w:t>th</w:t>
      </w:r>
      <w:r w:rsidRPr="001711E2">
        <w:rPr>
          <w:rFonts w:ascii="Arial" w:hAnsi="Arial" w:cs="Arial"/>
          <w:sz w:val="22"/>
          <w:szCs w:val="22"/>
        </w:rPr>
        <w:t> June 2018, which became effective on 4</w:t>
      </w:r>
      <w:r w:rsidRPr="001711E2">
        <w:rPr>
          <w:rFonts w:ascii="Arial" w:hAnsi="Arial" w:cs="Arial"/>
          <w:sz w:val="22"/>
          <w:szCs w:val="22"/>
          <w:vertAlign w:val="superscript"/>
        </w:rPr>
        <w:t>th</w:t>
      </w:r>
      <w:r w:rsidRPr="001711E2">
        <w:rPr>
          <w:rFonts w:ascii="Arial" w:hAnsi="Arial" w:cs="Arial"/>
          <w:sz w:val="22"/>
          <w:szCs w:val="22"/>
        </w:rPr>
        <w:t xml:space="preserve"> October 2018. The AMA established general terms and conditions applicable between FAO and the GCF. General provisions included in the AMA will be applicable to the funding proposal including co-financing executed project components.  This requires FAO to enact specific obligations on the Executing Entities (EE) regarding specific Project components.</w:t>
      </w:r>
    </w:p>
    <w:p w14:paraId="517799F8" w14:textId="77777777" w:rsidR="00134E0A" w:rsidRPr="001711E2" w:rsidRDefault="00134E0A" w:rsidP="00134E0A">
      <w:pPr>
        <w:pStyle w:val="ListParagraph"/>
        <w:numPr>
          <w:ilvl w:val="0"/>
          <w:numId w:val="5"/>
        </w:numPr>
        <w:tabs>
          <w:tab w:val="left" w:pos="0"/>
        </w:tabs>
        <w:spacing w:before="120" w:after="120" w:line="288" w:lineRule="auto"/>
        <w:contextualSpacing w:val="0"/>
        <w:jc w:val="both"/>
        <w:rPr>
          <w:rFonts w:ascii="Arial" w:hAnsi="Arial" w:cs="Arial"/>
          <w:sz w:val="22"/>
          <w:szCs w:val="22"/>
        </w:rPr>
      </w:pPr>
      <w:r w:rsidRPr="001711E2">
        <w:rPr>
          <w:rFonts w:ascii="Arial" w:hAnsi="Arial" w:cs="Arial"/>
          <w:sz w:val="22"/>
          <w:szCs w:val="22"/>
        </w:rPr>
        <w:t xml:space="preserve">In the capacity of Accredited Entity (FAO-AE), the BRCRN Funding Proposal was submitted </w:t>
      </w:r>
      <w:r>
        <w:rPr>
          <w:rFonts w:ascii="Arial" w:hAnsi="Arial" w:cs="Arial"/>
          <w:sz w:val="22"/>
          <w:szCs w:val="22"/>
        </w:rPr>
        <w:t xml:space="preserve">by FAO </w:t>
      </w:r>
      <w:r w:rsidRPr="001711E2">
        <w:rPr>
          <w:rFonts w:ascii="Arial" w:hAnsi="Arial" w:cs="Arial"/>
          <w:sz w:val="22"/>
          <w:szCs w:val="22"/>
        </w:rPr>
        <w:t xml:space="preserve">to the GCF secretariat, </w:t>
      </w:r>
      <w:r>
        <w:rPr>
          <w:rFonts w:ascii="Arial" w:hAnsi="Arial" w:cs="Arial"/>
          <w:sz w:val="22"/>
          <w:szCs w:val="22"/>
        </w:rPr>
        <w:t>and</w:t>
      </w:r>
      <w:r w:rsidRPr="001711E2">
        <w:rPr>
          <w:rFonts w:ascii="Arial" w:hAnsi="Arial" w:cs="Arial"/>
          <w:sz w:val="22"/>
          <w:szCs w:val="22"/>
        </w:rPr>
        <w:t xml:space="preserve"> was approved by </w:t>
      </w:r>
      <w:r>
        <w:rPr>
          <w:rFonts w:ascii="Arial" w:hAnsi="Arial" w:cs="Arial"/>
          <w:sz w:val="22"/>
          <w:szCs w:val="22"/>
        </w:rPr>
        <w:t>the 24</w:t>
      </w:r>
      <w:r w:rsidRPr="001711E2">
        <w:rPr>
          <w:rFonts w:ascii="Arial" w:hAnsi="Arial" w:cs="Arial"/>
          <w:sz w:val="22"/>
          <w:szCs w:val="22"/>
          <w:vertAlign w:val="superscript"/>
        </w:rPr>
        <w:t>th</w:t>
      </w:r>
      <w:r>
        <w:rPr>
          <w:rFonts w:ascii="Arial" w:hAnsi="Arial" w:cs="Arial"/>
          <w:sz w:val="22"/>
          <w:szCs w:val="22"/>
        </w:rPr>
        <w:t xml:space="preserve"> meeting of the GCF</w:t>
      </w:r>
      <w:r w:rsidRPr="001711E2">
        <w:rPr>
          <w:rFonts w:ascii="Arial" w:hAnsi="Arial" w:cs="Arial"/>
          <w:sz w:val="22"/>
          <w:szCs w:val="22"/>
        </w:rPr>
        <w:t xml:space="preserve"> Board held on 12-14 November 2019. The Proposal was formulated in consultation with the Government of Nepal (</w:t>
      </w:r>
      <w:proofErr w:type="spellStart"/>
      <w:r w:rsidRPr="001711E2">
        <w:rPr>
          <w:rFonts w:ascii="Arial" w:hAnsi="Arial" w:cs="Arial"/>
          <w:sz w:val="22"/>
          <w:szCs w:val="22"/>
        </w:rPr>
        <w:t>GoN</w:t>
      </w:r>
      <w:proofErr w:type="spellEnd"/>
      <w:r w:rsidRPr="001711E2">
        <w:rPr>
          <w:rFonts w:ascii="Arial" w:hAnsi="Arial" w:cs="Arial"/>
          <w:sz w:val="22"/>
          <w:szCs w:val="22"/>
        </w:rPr>
        <w:t xml:space="preserve">) </w:t>
      </w:r>
      <w:r>
        <w:rPr>
          <w:rFonts w:ascii="Arial" w:hAnsi="Arial" w:cs="Arial"/>
          <w:sz w:val="22"/>
          <w:szCs w:val="22"/>
        </w:rPr>
        <w:t xml:space="preserve">including </w:t>
      </w:r>
      <w:r w:rsidRPr="001711E2">
        <w:rPr>
          <w:rFonts w:ascii="Arial" w:hAnsi="Arial" w:cs="Arial"/>
          <w:sz w:val="22"/>
          <w:szCs w:val="22"/>
        </w:rPr>
        <w:t>background, rationale, project framework, budget, implementation and management arrangements, as well as oversight, monitoring, management information and reporting.</w:t>
      </w:r>
    </w:p>
    <w:p w14:paraId="745A9E06" w14:textId="182AC98A" w:rsidR="00134E0A" w:rsidRPr="001711E2" w:rsidRDefault="00134E0A" w:rsidP="00134E0A">
      <w:pPr>
        <w:pStyle w:val="ListParagraph"/>
        <w:numPr>
          <w:ilvl w:val="0"/>
          <w:numId w:val="5"/>
        </w:numPr>
        <w:tabs>
          <w:tab w:val="left" w:pos="0"/>
        </w:tabs>
        <w:spacing w:before="120" w:after="120" w:line="288" w:lineRule="auto"/>
        <w:contextualSpacing w:val="0"/>
        <w:jc w:val="both"/>
        <w:rPr>
          <w:rFonts w:ascii="Arial" w:hAnsi="Arial" w:cs="Arial"/>
          <w:sz w:val="22"/>
          <w:szCs w:val="22"/>
        </w:rPr>
      </w:pPr>
      <w:r>
        <w:rPr>
          <w:rFonts w:ascii="Arial" w:hAnsi="Arial" w:cs="Arial"/>
          <w:sz w:val="22"/>
          <w:szCs w:val="22"/>
        </w:rPr>
        <w:t>The GCF</w:t>
      </w:r>
      <w:r w:rsidRPr="001711E2">
        <w:rPr>
          <w:rFonts w:ascii="Arial" w:hAnsi="Arial" w:cs="Arial"/>
          <w:sz w:val="22"/>
          <w:szCs w:val="22"/>
        </w:rPr>
        <w:t xml:space="preserve"> and </w:t>
      </w:r>
      <w:r>
        <w:rPr>
          <w:rFonts w:ascii="Arial" w:hAnsi="Arial" w:cs="Arial"/>
          <w:sz w:val="22"/>
          <w:szCs w:val="22"/>
        </w:rPr>
        <w:t xml:space="preserve">the </w:t>
      </w:r>
      <w:r w:rsidRPr="001711E2">
        <w:rPr>
          <w:rFonts w:ascii="Arial" w:hAnsi="Arial" w:cs="Arial"/>
          <w:sz w:val="22"/>
          <w:szCs w:val="22"/>
        </w:rPr>
        <w:t>FAO entered into a Funded Activity Agreement (“FAA”) on 14</w:t>
      </w:r>
      <w:r w:rsidR="003006BA" w:rsidRPr="001711E2">
        <w:rPr>
          <w:rFonts w:ascii="Arial" w:hAnsi="Arial" w:cs="Arial"/>
          <w:sz w:val="22"/>
          <w:szCs w:val="22"/>
          <w:vertAlign w:val="superscript"/>
        </w:rPr>
        <w:t>th</w:t>
      </w:r>
      <w:r w:rsidR="003006BA" w:rsidRPr="001711E2">
        <w:rPr>
          <w:rFonts w:ascii="Arial" w:hAnsi="Arial" w:cs="Arial"/>
          <w:sz w:val="22"/>
          <w:szCs w:val="22"/>
        </w:rPr>
        <w:t xml:space="preserve"> November</w:t>
      </w:r>
      <w:r w:rsidRPr="001711E2">
        <w:rPr>
          <w:rFonts w:ascii="Arial" w:hAnsi="Arial" w:cs="Arial"/>
          <w:sz w:val="22"/>
          <w:szCs w:val="22"/>
        </w:rPr>
        <w:t> 2019 with respect to the Project</w:t>
      </w:r>
      <w:r>
        <w:rPr>
          <w:rFonts w:ascii="Arial" w:hAnsi="Arial" w:cs="Arial"/>
          <w:sz w:val="22"/>
          <w:szCs w:val="22"/>
        </w:rPr>
        <w:t>,</w:t>
      </w:r>
      <w:r w:rsidRPr="001711E2">
        <w:rPr>
          <w:rFonts w:ascii="Arial" w:hAnsi="Arial" w:cs="Arial"/>
          <w:sz w:val="22"/>
          <w:szCs w:val="22"/>
        </w:rPr>
        <w:t xml:space="preserve"> setting out the terms and conditions for the monitoring, supervision and implementation of the funded activity including the conditions to fulfil for the disbursement of </w:t>
      </w:r>
      <w:r>
        <w:rPr>
          <w:rFonts w:ascii="Arial" w:hAnsi="Arial" w:cs="Arial"/>
          <w:sz w:val="22"/>
          <w:szCs w:val="22"/>
        </w:rPr>
        <w:t>fund instalments</w:t>
      </w:r>
      <w:r w:rsidRPr="001711E2">
        <w:rPr>
          <w:rFonts w:ascii="Arial" w:hAnsi="Arial" w:cs="Arial"/>
          <w:sz w:val="22"/>
          <w:szCs w:val="22"/>
        </w:rPr>
        <w:t xml:space="preserve"> from the GCF to FAO-AE.</w:t>
      </w:r>
      <w:r>
        <w:rPr>
          <w:rFonts w:ascii="Arial" w:hAnsi="Arial" w:cs="Arial"/>
          <w:sz w:val="22"/>
          <w:szCs w:val="22"/>
        </w:rPr>
        <w:t xml:space="preserve"> </w:t>
      </w:r>
      <w:r w:rsidR="003006BA">
        <w:rPr>
          <w:rFonts w:ascii="Arial" w:hAnsi="Arial" w:cs="Arial"/>
          <w:sz w:val="22"/>
          <w:szCs w:val="22"/>
        </w:rPr>
        <w:t xml:space="preserve">The </w:t>
      </w:r>
      <w:r w:rsidR="003006BA" w:rsidRPr="001711E2">
        <w:rPr>
          <w:rFonts w:ascii="Arial" w:hAnsi="Arial" w:cs="Arial"/>
          <w:sz w:val="22"/>
          <w:szCs w:val="22"/>
        </w:rPr>
        <w:t>FAO</w:t>
      </w:r>
      <w:r w:rsidRPr="001711E2">
        <w:rPr>
          <w:rFonts w:ascii="Arial" w:hAnsi="Arial" w:cs="Arial"/>
          <w:sz w:val="22"/>
          <w:szCs w:val="22"/>
        </w:rPr>
        <w:t xml:space="preserve"> and the Government of Nepal (</w:t>
      </w:r>
      <w:proofErr w:type="spellStart"/>
      <w:r w:rsidRPr="001711E2">
        <w:rPr>
          <w:rFonts w:ascii="Arial" w:hAnsi="Arial" w:cs="Arial"/>
          <w:sz w:val="22"/>
          <w:szCs w:val="22"/>
        </w:rPr>
        <w:t>GoN</w:t>
      </w:r>
      <w:proofErr w:type="spellEnd"/>
      <w:r w:rsidRPr="001711E2">
        <w:rPr>
          <w:rFonts w:ascii="Arial" w:hAnsi="Arial" w:cs="Arial"/>
          <w:sz w:val="22"/>
          <w:szCs w:val="22"/>
        </w:rPr>
        <w:t xml:space="preserve">) entered into an Agreement for the implementation of the project </w:t>
      </w:r>
      <w:r w:rsidRPr="001711E2">
        <w:rPr>
          <w:rFonts w:ascii="Arial" w:hAnsi="Arial" w:cs="Arial"/>
          <w:b/>
          <w:bCs/>
          <w:sz w:val="22"/>
          <w:szCs w:val="22"/>
        </w:rPr>
        <w:t>“Building a Resilient Churia Region in Nepal (BRCRN) on 3</w:t>
      </w:r>
      <w:r w:rsidRPr="001711E2">
        <w:rPr>
          <w:rFonts w:ascii="Arial" w:hAnsi="Arial" w:cs="Arial"/>
          <w:b/>
          <w:bCs/>
          <w:sz w:val="22"/>
          <w:szCs w:val="22"/>
          <w:vertAlign w:val="superscript"/>
        </w:rPr>
        <w:t>rd</w:t>
      </w:r>
      <w:r w:rsidRPr="001711E2">
        <w:rPr>
          <w:rFonts w:ascii="Arial" w:hAnsi="Arial" w:cs="Arial"/>
          <w:b/>
          <w:bCs/>
          <w:sz w:val="22"/>
          <w:szCs w:val="22"/>
        </w:rPr>
        <w:t xml:space="preserve"> May 2020</w:t>
      </w:r>
      <w:r w:rsidRPr="001711E2">
        <w:rPr>
          <w:rFonts w:ascii="Arial" w:hAnsi="Arial" w:cs="Arial"/>
          <w:sz w:val="22"/>
          <w:szCs w:val="22"/>
        </w:rPr>
        <w:t xml:space="preserve"> setting out the framework for the collaboration between the </w:t>
      </w:r>
      <w:proofErr w:type="spellStart"/>
      <w:r w:rsidRPr="001711E2">
        <w:rPr>
          <w:rFonts w:ascii="Arial" w:hAnsi="Arial" w:cs="Arial"/>
          <w:sz w:val="22"/>
          <w:szCs w:val="22"/>
        </w:rPr>
        <w:t>GoN</w:t>
      </w:r>
      <w:proofErr w:type="spellEnd"/>
      <w:r w:rsidRPr="001711E2">
        <w:rPr>
          <w:rFonts w:ascii="Arial" w:hAnsi="Arial" w:cs="Arial"/>
          <w:sz w:val="22"/>
          <w:szCs w:val="22"/>
        </w:rPr>
        <w:t xml:space="preserve"> and FAO–AE with respect to the financing, implementation and execution of specific components of the Project.  The </w:t>
      </w:r>
      <w:r w:rsidRPr="001711E2">
        <w:rPr>
          <w:rFonts w:ascii="Arial" w:hAnsi="Arial" w:cs="Arial"/>
          <w:b/>
          <w:bCs/>
          <w:sz w:val="22"/>
          <w:szCs w:val="22"/>
        </w:rPr>
        <w:t>FAA entered into effect on 12</w:t>
      </w:r>
      <w:r w:rsidR="003006BA" w:rsidRPr="001711E2">
        <w:rPr>
          <w:rFonts w:ascii="Arial" w:hAnsi="Arial" w:cs="Arial"/>
          <w:b/>
          <w:bCs/>
          <w:sz w:val="22"/>
          <w:szCs w:val="22"/>
          <w:vertAlign w:val="superscript"/>
        </w:rPr>
        <w:t>th</w:t>
      </w:r>
      <w:r w:rsidR="003006BA" w:rsidRPr="001711E2">
        <w:rPr>
          <w:rFonts w:ascii="Arial" w:hAnsi="Arial" w:cs="Arial"/>
          <w:b/>
          <w:bCs/>
          <w:sz w:val="22"/>
          <w:szCs w:val="22"/>
        </w:rPr>
        <w:t xml:space="preserve"> May</w:t>
      </w:r>
      <w:r w:rsidRPr="001711E2">
        <w:rPr>
          <w:rFonts w:ascii="Arial" w:hAnsi="Arial" w:cs="Arial"/>
          <w:b/>
          <w:bCs/>
          <w:sz w:val="22"/>
          <w:szCs w:val="22"/>
        </w:rPr>
        <w:t xml:space="preserve"> 2020 </w:t>
      </w:r>
      <w:r w:rsidRPr="001711E2">
        <w:rPr>
          <w:rFonts w:ascii="Arial" w:hAnsi="Arial" w:cs="Arial"/>
          <w:sz w:val="22"/>
          <w:szCs w:val="22"/>
        </w:rPr>
        <w:t>(“effective date”).</w:t>
      </w:r>
    </w:p>
    <w:p w14:paraId="536D51B3" w14:textId="5F6935A3" w:rsidR="00134E0A" w:rsidRDefault="00134E0A" w:rsidP="00033A73">
      <w:pPr>
        <w:pStyle w:val="ListParagraph"/>
        <w:numPr>
          <w:ilvl w:val="0"/>
          <w:numId w:val="5"/>
        </w:numPr>
        <w:tabs>
          <w:tab w:val="left" w:pos="0"/>
        </w:tabs>
        <w:spacing w:before="120" w:after="120" w:line="288" w:lineRule="auto"/>
        <w:contextualSpacing w:val="0"/>
        <w:jc w:val="both"/>
        <w:rPr>
          <w:rFonts w:ascii="Arial" w:hAnsi="Arial" w:cs="Arial"/>
          <w:sz w:val="22"/>
          <w:szCs w:val="22"/>
        </w:rPr>
      </w:pPr>
      <w:r w:rsidRPr="00033A73">
        <w:rPr>
          <w:rFonts w:ascii="Arial" w:hAnsi="Arial" w:cs="Arial"/>
          <w:sz w:val="22"/>
          <w:szCs w:val="22"/>
        </w:rPr>
        <w:t xml:space="preserve">The </w:t>
      </w:r>
      <w:proofErr w:type="spellStart"/>
      <w:r w:rsidRPr="00033A73">
        <w:rPr>
          <w:rFonts w:ascii="Arial" w:hAnsi="Arial" w:cs="Arial"/>
          <w:sz w:val="22"/>
          <w:szCs w:val="22"/>
        </w:rPr>
        <w:t>GoN</w:t>
      </w:r>
      <w:proofErr w:type="spellEnd"/>
      <w:r w:rsidRPr="00033A73">
        <w:rPr>
          <w:rFonts w:ascii="Arial" w:hAnsi="Arial" w:cs="Arial"/>
          <w:sz w:val="22"/>
          <w:szCs w:val="22"/>
        </w:rPr>
        <w:t xml:space="preserve"> has acknowledged that, pursuant to the FAA and the AMA, FAO-AE will be responsible to the GCF for monitoring and supervising the implementation of the entire Project, including with respect to the implementation of components co-financed and/or co-executed by the Government. </w:t>
      </w:r>
    </w:p>
    <w:tbl>
      <w:tblPr>
        <w:tblStyle w:val="TableGrid"/>
        <w:tblpPr w:leftFromText="180" w:rightFromText="180" w:vertAnchor="text" w:horzAnchor="margin" w:tblpXSpec="center" w:tblpY="522"/>
        <w:tblW w:w="5774" w:type="pct"/>
        <w:shd w:val="clear" w:color="auto" w:fill="FFFFFF" w:themeFill="background1"/>
        <w:tblLook w:val="04A0" w:firstRow="1" w:lastRow="0" w:firstColumn="1" w:lastColumn="0" w:noHBand="0" w:noVBand="1"/>
      </w:tblPr>
      <w:tblGrid>
        <w:gridCol w:w="2799"/>
        <w:gridCol w:w="2248"/>
        <w:gridCol w:w="3239"/>
        <w:gridCol w:w="2511"/>
      </w:tblGrid>
      <w:tr w:rsidR="00237895" w:rsidRPr="00722578" w14:paraId="3B31103E" w14:textId="77777777" w:rsidTr="00237895">
        <w:trPr>
          <w:trHeight w:val="1573"/>
        </w:trPr>
        <w:tc>
          <w:tcPr>
            <w:tcW w:w="1296" w:type="pct"/>
            <w:shd w:val="clear" w:color="auto" w:fill="FFFFFF" w:themeFill="background1"/>
          </w:tcPr>
          <w:p w14:paraId="55B1A7B9" w14:textId="77777777" w:rsidR="00237895" w:rsidRPr="00722578" w:rsidRDefault="00237895" w:rsidP="00237895">
            <w:pPr>
              <w:jc w:val="both"/>
              <w:rPr>
                <w:rFonts w:eastAsia="MS Mincho" w:cs="Kalimati"/>
                <w:kern w:val="2"/>
                <w:sz w:val="16"/>
                <w:szCs w:val="16"/>
                <w:lang w:eastAsia="zh-CN" w:bidi="ne-NP"/>
              </w:rPr>
            </w:pPr>
            <w:r w:rsidRPr="00722578">
              <w:rPr>
                <w:rFonts w:cs="Kalimati"/>
                <w:noProof/>
                <w:sz w:val="16"/>
                <w:szCs w:val="16"/>
              </w:rPr>
              <w:drawing>
                <wp:inline distT="0" distB="0" distL="0" distR="0" wp14:anchorId="4946DD40" wp14:editId="3EA2BF7C">
                  <wp:extent cx="1211331" cy="1023978"/>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60" cy="1046742"/>
                          </a:xfrm>
                          <a:prstGeom prst="rect">
                            <a:avLst/>
                          </a:prstGeom>
                          <a:noFill/>
                          <a:ln>
                            <a:noFill/>
                          </a:ln>
                        </pic:spPr>
                      </pic:pic>
                    </a:graphicData>
                  </a:graphic>
                </wp:inline>
              </w:drawing>
            </w:r>
          </w:p>
        </w:tc>
        <w:tc>
          <w:tcPr>
            <w:tcW w:w="1041" w:type="pct"/>
            <w:shd w:val="clear" w:color="auto" w:fill="FFFFFF" w:themeFill="background1"/>
          </w:tcPr>
          <w:p w14:paraId="1B7C38A7" w14:textId="75C182AB" w:rsidR="00237895" w:rsidRPr="00E915CC" w:rsidRDefault="00237895" w:rsidP="00237895">
            <w:pPr>
              <w:rPr>
                <w:rFonts w:ascii="Arial" w:hAnsi="Arial" w:cs="Arial"/>
                <w:color w:val="FF0000"/>
                <w:sz w:val="11"/>
                <w:szCs w:val="11"/>
              </w:rPr>
            </w:pPr>
            <w:r w:rsidRPr="00E915CC">
              <w:rPr>
                <w:rFonts w:ascii="Arial" w:hAnsi="Arial" w:cs="Arial"/>
                <w:color w:val="FF0000"/>
                <w:sz w:val="11"/>
                <w:szCs w:val="11"/>
                <w:lang w:bidi="hi-IN"/>
              </w:rPr>
              <w:t>Government of Nepal</w:t>
            </w:r>
          </w:p>
          <w:p w14:paraId="07962D59" w14:textId="52ACC7CB" w:rsidR="00237895" w:rsidRPr="00E915CC" w:rsidRDefault="00237895" w:rsidP="00237895">
            <w:pPr>
              <w:rPr>
                <w:rFonts w:ascii="Arial" w:hAnsi="Arial" w:cs="Arial"/>
                <w:color w:val="FF0000"/>
                <w:sz w:val="11"/>
                <w:szCs w:val="11"/>
                <w:lang w:bidi="hi-IN"/>
              </w:rPr>
            </w:pPr>
            <w:r w:rsidRPr="00E915CC">
              <w:rPr>
                <w:rFonts w:ascii="Arial" w:hAnsi="Arial" w:cs="Arial"/>
                <w:color w:val="FF0000"/>
                <w:sz w:val="11"/>
                <w:szCs w:val="11"/>
                <w:lang w:bidi="hi-IN"/>
              </w:rPr>
              <w:t>Minister of Forest and Environment</w:t>
            </w:r>
          </w:p>
          <w:p w14:paraId="4979A245" w14:textId="77777777" w:rsidR="000C77F4" w:rsidRPr="00E915CC" w:rsidRDefault="000C77F4" w:rsidP="00237895">
            <w:pPr>
              <w:rPr>
                <w:rFonts w:ascii="Arial" w:hAnsi="Arial" w:cs="Arial"/>
                <w:color w:val="FF0000"/>
                <w:sz w:val="11"/>
                <w:szCs w:val="11"/>
                <w:rtl/>
                <w:cs/>
              </w:rPr>
            </w:pPr>
          </w:p>
          <w:p w14:paraId="442821FD" w14:textId="64947AC1" w:rsidR="000C77F4" w:rsidRPr="00E915CC" w:rsidRDefault="00237895" w:rsidP="00237895">
            <w:pPr>
              <w:rPr>
                <w:rFonts w:ascii="Arial" w:hAnsi="Arial" w:cs="Arial"/>
                <w:b/>
                <w:bCs/>
                <w:color w:val="FF0000"/>
                <w:sz w:val="16"/>
                <w:szCs w:val="16"/>
                <w:lang w:bidi="hi-IN"/>
              </w:rPr>
            </w:pPr>
            <w:r w:rsidRPr="00E915CC">
              <w:rPr>
                <w:rFonts w:ascii="Arial" w:hAnsi="Arial" w:cs="Arial"/>
                <w:b/>
                <w:bCs/>
                <w:color w:val="FF0000"/>
                <w:sz w:val="16"/>
                <w:szCs w:val="16"/>
                <w:lang w:bidi="hi-IN"/>
              </w:rPr>
              <w:t xml:space="preserve">Building a Resilient </w:t>
            </w:r>
            <w:proofErr w:type="spellStart"/>
            <w:r w:rsidRPr="00E915CC">
              <w:rPr>
                <w:rFonts w:ascii="Arial" w:hAnsi="Arial" w:cs="Arial"/>
                <w:b/>
                <w:bCs/>
                <w:color w:val="FF0000"/>
                <w:sz w:val="16"/>
                <w:szCs w:val="16"/>
                <w:lang w:bidi="hi-IN"/>
              </w:rPr>
              <w:t>Churia</w:t>
            </w:r>
            <w:proofErr w:type="spellEnd"/>
            <w:r w:rsidRPr="00E915CC">
              <w:rPr>
                <w:rFonts w:ascii="Arial" w:hAnsi="Arial" w:cs="Arial"/>
                <w:b/>
                <w:bCs/>
                <w:color w:val="FF0000"/>
                <w:sz w:val="16"/>
                <w:szCs w:val="16"/>
                <w:lang w:bidi="hi-IN"/>
              </w:rPr>
              <w:t xml:space="preserve"> Region in Nepal</w:t>
            </w:r>
          </w:p>
          <w:p w14:paraId="3681433C" w14:textId="77777777" w:rsidR="00237895" w:rsidRPr="000C77F4" w:rsidRDefault="00237895" w:rsidP="00237895">
            <w:pPr>
              <w:rPr>
                <w:rFonts w:ascii="Arial" w:hAnsi="Arial" w:cs="Arial"/>
                <w:sz w:val="14"/>
                <w:szCs w:val="14"/>
              </w:rPr>
            </w:pPr>
            <w:r w:rsidRPr="000C77F4">
              <w:rPr>
                <w:rFonts w:ascii="Arial" w:hAnsi="Arial" w:cs="Arial"/>
                <w:color w:val="FF0000"/>
                <w:sz w:val="14"/>
                <w:szCs w:val="14"/>
                <w:lang w:bidi="ne-NP"/>
              </w:rPr>
              <w:t xml:space="preserve">Project Management Unit, </w:t>
            </w:r>
            <w:proofErr w:type="spellStart"/>
            <w:r w:rsidRPr="000C77F4">
              <w:rPr>
                <w:rFonts w:ascii="Arial" w:hAnsi="Arial" w:cs="Arial"/>
                <w:color w:val="FF0000"/>
                <w:sz w:val="14"/>
                <w:szCs w:val="14"/>
                <w:lang w:bidi="ne-NP"/>
              </w:rPr>
              <w:t>Babarmahal</w:t>
            </w:r>
            <w:proofErr w:type="spellEnd"/>
            <w:r w:rsidRPr="000C77F4">
              <w:rPr>
                <w:rFonts w:ascii="Arial" w:hAnsi="Arial" w:cs="Arial"/>
                <w:color w:val="FF0000"/>
                <w:sz w:val="14"/>
                <w:szCs w:val="14"/>
                <w:lang w:bidi="ne-NP"/>
              </w:rPr>
              <w:t xml:space="preserve"> </w:t>
            </w:r>
          </w:p>
          <w:p w14:paraId="17FD37EE" w14:textId="77777777" w:rsidR="00237895" w:rsidRPr="00237895" w:rsidRDefault="00237895" w:rsidP="00237895">
            <w:pPr>
              <w:jc w:val="right"/>
              <w:rPr>
                <w:rFonts w:eastAsia="MS Mincho" w:cs="Kalimati"/>
                <w:kern w:val="2"/>
                <w:sz w:val="14"/>
                <w:szCs w:val="14"/>
                <w:lang w:eastAsia="zh-CN" w:bidi="ne-NP"/>
              </w:rPr>
            </w:pPr>
          </w:p>
        </w:tc>
        <w:tc>
          <w:tcPr>
            <w:tcW w:w="1500" w:type="pct"/>
            <w:shd w:val="clear" w:color="auto" w:fill="FFFFFF" w:themeFill="background1"/>
          </w:tcPr>
          <w:p w14:paraId="685764D9" w14:textId="77777777" w:rsidR="00237895" w:rsidRPr="00BB3606" w:rsidRDefault="00237895" w:rsidP="00237895">
            <w:pPr>
              <w:rPr>
                <w:rFonts w:cs="Kalimati"/>
                <w:b/>
                <w:bCs/>
                <w:sz w:val="16"/>
                <w:szCs w:val="16"/>
                <w:lang w:bidi="ne-NP"/>
              </w:rPr>
            </w:pPr>
            <w:r w:rsidRPr="00BB3606">
              <w:rPr>
                <w:rFonts w:cs="Kalimati" w:hint="cs"/>
                <w:b/>
                <w:bCs/>
                <w:sz w:val="16"/>
                <w:szCs w:val="16"/>
                <w:cs/>
                <w:lang w:bidi="ne-NP"/>
              </w:rPr>
              <w:t xml:space="preserve">सम्पर्क तथा जानकारीको लागि </w:t>
            </w:r>
          </w:p>
          <w:p w14:paraId="7BC4CC4B" w14:textId="77777777" w:rsidR="00237895" w:rsidRPr="00722578" w:rsidRDefault="00237895" w:rsidP="00237895">
            <w:pPr>
              <w:rPr>
                <w:rFonts w:cs="Kalimati"/>
                <w:sz w:val="16"/>
                <w:szCs w:val="16"/>
                <w:lang w:bidi="ne-NP"/>
              </w:rPr>
            </w:pPr>
            <w:r>
              <w:rPr>
                <w:rFonts w:cs="Kalimati"/>
                <w:sz w:val="16"/>
                <w:szCs w:val="16"/>
                <w:lang w:bidi="ne-NP"/>
              </w:rPr>
              <w:t>Email:</w:t>
            </w:r>
            <w:r w:rsidRPr="00722578">
              <w:rPr>
                <w:rFonts w:cs="Kalimati" w:hint="cs"/>
                <w:sz w:val="16"/>
                <w:szCs w:val="16"/>
                <w:cs/>
                <w:lang w:bidi="ne-NP"/>
              </w:rPr>
              <w:t xml:space="preserve"> </w:t>
            </w:r>
            <w:hyperlink r:id="rId10" w:history="1">
              <w:r w:rsidRPr="002665E0">
                <w:rPr>
                  <w:rStyle w:val="Hyperlink"/>
                  <w:rFonts w:cs="Kalimati"/>
                  <w:sz w:val="16"/>
                  <w:szCs w:val="16"/>
                  <w:lang w:bidi="ne-NP"/>
                </w:rPr>
                <w:t xml:space="preserve">brcrn.nepal@brcrn.gov.np </w:t>
              </w:r>
            </w:hyperlink>
          </w:p>
          <w:p w14:paraId="47DE55ED" w14:textId="77777777" w:rsidR="00237895" w:rsidRPr="00722578" w:rsidRDefault="00237895" w:rsidP="00237895">
            <w:pPr>
              <w:rPr>
                <w:rFonts w:cs="Kalimati"/>
                <w:sz w:val="16"/>
                <w:szCs w:val="16"/>
                <w:lang w:bidi="ne-NP"/>
              </w:rPr>
            </w:pPr>
            <w:r>
              <w:rPr>
                <w:rFonts w:cs="Kalimati"/>
                <w:sz w:val="16"/>
                <w:szCs w:val="16"/>
                <w:lang w:bidi="ne-NP"/>
              </w:rPr>
              <w:t>Website:</w:t>
            </w:r>
            <w:r w:rsidRPr="00722578">
              <w:rPr>
                <w:rFonts w:cs="Kalimati" w:hint="cs"/>
                <w:sz w:val="16"/>
                <w:szCs w:val="16"/>
                <w:cs/>
                <w:lang w:bidi="ne-NP"/>
              </w:rPr>
              <w:t xml:space="preserve"> </w:t>
            </w:r>
            <w:r w:rsidRPr="00722578">
              <w:rPr>
                <w:rFonts w:cs="Kalimati"/>
                <w:sz w:val="16"/>
                <w:szCs w:val="16"/>
                <w:lang w:bidi="ne-NP"/>
              </w:rPr>
              <w:t xml:space="preserve">brcrn.gov.np </w:t>
            </w:r>
          </w:p>
          <w:p w14:paraId="37934887" w14:textId="77777777" w:rsidR="00237895" w:rsidRDefault="00237895" w:rsidP="00237895">
            <w:pPr>
              <w:rPr>
                <w:rFonts w:ascii="Mangal" w:hAnsi="Mangal" w:cs="Kalimati"/>
                <w:sz w:val="16"/>
                <w:szCs w:val="16"/>
                <w:lang w:bidi="ne-NP"/>
              </w:rPr>
            </w:pPr>
            <w:r w:rsidRPr="00F1531B">
              <w:rPr>
                <w:rFonts w:cs="Kalimati"/>
                <w:sz w:val="16"/>
                <w:szCs w:val="16"/>
                <w:lang w:bidi="ne-NP"/>
              </w:rPr>
              <w:t>Telephone:</w:t>
            </w:r>
            <w:r w:rsidRPr="00722578">
              <w:rPr>
                <w:rFonts w:cs="Kalimati"/>
                <w:sz w:val="16"/>
                <w:szCs w:val="16"/>
                <w:cs/>
                <w:lang w:bidi="ne-NP"/>
              </w:rPr>
              <w:t xml:space="preserve"> </w:t>
            </w:r>
            <w:r w:rsidRPr="00722578">
              <w:rPr>
                <w:rFonts w:ascii="Mangal" w:hAnsi="Mangal" w:cs="Kalimati" w:hint="cs"/>
                <w:sz w:val="16"/>
                <w:szCs w:val="16"/>
                <w:cs/>
                <w:lang w:bidi="ne-NP"/>
              </w:rPr>
              <w:t>०१</w:t>
            </w:r>
            <w:r w:rsidRPr="00722578">
              <w:rPr>
                <w:rFonts w:cs="Kalimati"/>
                <w:sz w:val="16"/>
                <w:szCs w:val="16"/>
                <w:cs/>
                <w:lang w:bidi="ne-NP"/>
              </w:rPr>
              <w:t xml:space="preserve"> </w:t>
            </w:r>
            <w:r w:rsidRPr="00722578">
              <w:rPr>
                <w:rFonts w:ascii="Mangal" w:hAnsi="Mangal" w:cs="Kalimati" w:hint="cs"/>
                <w:sz w:val="16"/>
                <w:szCs w:val="16"/>
                <w:cs/>
                <w:lang w:bidi="ne-NP"/>
              </w:rPr>
              <w:t>४२४१४८७</w:t>
            </w:r>
          </w:p>
          <w:p w14:paraId="28523E4F" w14:textId="77777777" w:rsidR="00237895" w:rsidRPr="00A76723" w:rsidRDefault="00237895" w:rsidP="00237895">
            <w:pPr>
              <w:rPr>
                <w:rFonts w:ascii="Arial" w:hAnsi="Arial" w:cs="Arial"/>
                <w:color w:val="FF0000"/>
                <w:sz w:val="16"/>
                <w:szCs w:val="16"/>
                <w:cs/>
                <w:lang w:bidi="hi-IN"/>
              </w:rPr>
            </w:pPr>
            <w:r w:rsidRPr="00A76723">
              <w:rPr>
                <w:rFonts w:ascii="Arial" w:hAnsi="Arial" w:cs="Arial"/>
                <w:sz w:val="16"/>
                <w:szCs w:val="16"/>
                <w:lang w:bidi="ne-NP"/>
              </w:rPr>
              <w:t xml:space="preserve">Provincial Project Management Units </w:t>
            </w:r>
            <w:proofErr w:type="spellStart"/>
            <w:r w:rsidRPr="00A76723">
              <w:rPr>
                <w:rFonts w:ascii="Arial" w:hAnsi="Arial" w:cs="Arial"/>
                <w:sz w:val="16"/>
                <w:szCs w:val="16"/>
                <w:lang w:bidi="ne-NP"/>
              </w:rPr>
              <w:t>Sindhuli</w:t>
            </w:r>
            <w:proofErr w:type="spellEnd"/>
            <w:r w:rsidRPr="00A76723">
              <w:rPr>
                <w:rFonts w:ascii="Arial" w:hAnsi="Arial" w:cs="Arial"/>
                <w:sz w:val="16"/>
                <w:szCs w:val="16"/>
                <w:lang w:bidi="ne-NP"/>
              </w:rPr>
              <w:t xml:space="preserve">, </w:t>
            </w:r>
            <w:proofErr w:type="spellStart"/>
            <w:r w:rsidRPr="00A76723">
              <w:rPr>
                <w:rFonts w:ascii="Arial" w:hAnsi="Arial" w:cs="Arial"/>
                <w:sz w:val="16"/>
                <w:szCs w:val="16"/>
                <w:lang w:bidi="ne-NP"/>
              </w:rPr>
              <w:t>Bardibas</w:t>
            </w:r>
            <w:proofErr w:type="spellEnd"/>
            <w:r w:rsidRPr="00A76723">
              <w:rPr>
                <w:rFonts w:ascii="Arial" w:hAnsi="Arial" w:cs="Arial"/>
                <w:sz w:val="16"/>
                <w:szCs w:val="16"/>
                <w:lang w:bidi="ne-NP"/>
              </w:rPr>
              <w:t xml:space="preserve"> and </w:t>
            </w:r>
            <w:proofErr w:type="spellStart"/>
            <w:r w:rsidRPr="00A76723">
              <w:rPr>
                <w:rFonts w:ascii="Arial" w:hAnsi="Arial" w:cs="Arial"/>
                <w:sz w:val="16"/>
                <w:szCs w:val="16"/>
                <w:lang w:bidi="ne-NP"/>
              </w:rPr>
              <w:t>Itahari</w:t>
            </w:r>
            <w:proofErr w:type="spellEnd"/>
            <w:r w:rsidRPr="00A76723">
              <w:rPr>
                <w:rFonts w:ascii="Mangal" w:hAnsi="Mangal" w:cs="Mangal" w:hint="cs"/>
                <w:sz w:val="16"/>
                <w:szCs w:val="16"/>
                <w:cs/>
                <w:lang w:bidi="ne-NP"/>
              </w:rPr>
              <w:t>।</w:t>
            </w:r>
            <w:r w:rsidRPr="00A76723">
              <w:rPr>
                <w:rFonts w:ascii="Arial" w:hAnsi="Arial" w:cs="Arial"/>
                <w:sz w:val="16"/>
                <w:szCs w:val="16"/>
                <w:cs/>
                <w:lang w:bidi="ne-NP"/>
              </w:rPr>
              <w:t xml:space="preserve"> </w:t>
            </w:r>
          </w:p>
        </w:tc>
        <w:tc>
          <w:tcPr>
            <w:tcW w:w="1163" w:type="pct"/>
            <w:shd w:val="clear" w:color="auto" w:fill="FFFFFF" w:themeFill="background1"/>
          </w:tcPr>
          <w:p w14:paraId="762D1950" w14:textId="77777777" w:rsidR="00237895" w:rsidRDefault="00237895" w:rsidP="00237895">
            <w:pPr>
              <w:rPr>
                <w:rFonts w:cs="Kalimati"/>
                <w:sz w:val="16"/>
                <w:szCs w:val="16"/>
                <w:cs/>
                <w:lang w:bidi="ne-NP"/>
              </w:rPr>
            </w:pPr>
            <w:r>
              <w:rPr>
                <w:noProof/>
              </w:rPr>
              <w:drawing>
                <wp:anchor distT="0" distB="0" distL="114300" distR="114300" simplePos="0" relativeHeight="251659264" behindDoc="0" locked="0" layoutInCell="1" allowOverlap="1" wp14:anchorId="0498CCB8" wp14:editId="74F26C0F">
                  <wp:simplePos x="0" y="0"/>
                  <wp:positionH relativeFrom="column">
                    <wp:posOffset>15875</wp:posOffset>
                  </wp:positionH>
                  <wp:positionV relativeFrom="paragraph">
                    <wp:posOffset>29210</wp:posOffset>
                  </wp:positionV>
                  <wp:extent cx="1053465" cy="10534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7895" w:rsidRPr="00722578" w14:paraId="39674174" w14:textId="77777777" w:rsidTr="00237895">
        <w:trPr>
          <w:trHeight w:val="718"/>
        </w:trPr>
        <w:tc>
          <w:tcPr>
            <w:tcW w:w="5000" w:type="pct"/>
            <w:gridSpan w:val="4"/>
            <w:shd w:val="clear" w:color="auto" w:fill="FFFFFF" w:themeFill="background1"/>
          </w:tcPr>
          <w:p w14:paraId="1D1415A8" w14:textId="77777777" w:rsidR="000C77F4" w:rsidRDefault="00237895" w:rsidP="00237895">
            <w:pPr>
              <w:rPr>
                <w:sz w:val="18"/>
                <w:szCs w:val="18"/>
              </w:rPr>
            </w:pPr>
            <w:r w:rsidRPr="00237895">
              <w:rPr>
                <w:sz w:val="18"/>
                <w:szCs w:val="18"/>
              </w:rPr>
              <w:t xml:space="preserve">Preparatory Team: </w:t>
            </w:r>
            <w:proofErr w:type="spellStart"/>
            <w:r w:rsidRPr="00237895">
              <w:rPr>
                <w:sz w:val="18"/>
                <w:szCs w:val="18"/>
              </w:rPr>
              <w:t>Pashupati</w:t>
            </w:r>
            <w:proofErr w:type="spellEnd"/>
            <w:r w:rsidRPr="00237895">
              <w:rPr>
                <w:sz w:val="18"/>
                <w:szCs w:val="18"/>
              </w:rPr>
              <w:t xml:space="preserve"> Nath Koirala, National Project Director, Sushil Bhandari and Raj Kumar Gupta Undersecretary, Thakur Prasad </w:t>
            </w:r>
            <w:proofErr w:type="spellStart"/>
            <w:r w:rsidRPr="00237895">
              <w:rPr>
                <w:sz w:val="18"/>
                <w:szCs w:val="18"/>
              </w:rPr>
              <w:t>Magarati</w:t>
            </w:r>
            <w:proofErr w:type="spellEnd"/>
            <w:r w:rsidRPr="00237895">
              <w:rPr>
                <w:sz w:val="18"/>
                <w:szCs w:val="18"/>
              </w:rPr>
              <w:t xml:space="preserve"> and Amar Adhikari Assistant Soil Conservation Officer. </w:t>
            </w:r>
          </w:p>
          <w:p w14:paraId="4D82783C" w14:textId="77777777" w:rsidR="000C77F4" w:rsidRDefault="00237895" w:rsidP="00237895">
            <w:pPr>
              <w:rPr>
                <w:sz w:val="18"/>
                <w:szCs w:val="18"/>
              </w:rPr>
            </w:pPr>
            <w:r w:rsidRPr="00237895">
              <w:rPr>
                <w:sz w:val="18"/>
                <w:szCs w:val="18"/>
              </w:rPr>
              <w:t xml:space="preserve">Food and Agricultural Organization Technical Team: </w:t>
            </w:r>
            <w:proofErr w:type="spellStart"/>
            <w:r w:rsidRPr="00237895">
              <w:rPr>
                <w:sz w:val="18"/>
                <w:szCs w:val="18"/>
              </w:rPr>
              <w:t>Bala</w:t>
            </w:r>
            <w:proofErr w:type="spellEnd"/>
            <w:r w:rsidR="000C77F4">
              <w:rPr>
                <w:sz w:val="18"/>
                <w:szCs w:val="18"/>
              </w:rPr>
              <w:t xml:space="preserve"> R</w:t>
            </w:r>
            <w:r w:rsidRPr="00237895">
              <w:rPr>
                <w:sz w:val="18"/>
                <w:szCs w:val="18"/>
              </w:rPr>
              <w:t xml:space="preserve">am Kandel National Project Manager, Ganesh Yadav, Monitoring and Environment Specialist. </w:t>
            </w:r>
          </w:p>
          <w:p w14:paraId="6448EFDD" w14:textId="45C1A1CD" w:rsidR="00237895" w:rsidRPr="00237895" w:rsidRDefault="000C77F4" w:rsidP="00237895">
            <w:pPr>
              <w:rPr>
                <w:sz w:val="18"/>
                <w:szCs w:val="18"/>
              </w:rPr>
            </w:pPr>
            <w:r>
              <w:rPr>
                <w:sz w:val="18"/>
                <w:szCs w:val="18"/>
              </w:rPr>
              <w:t>Freelancer Specialist:</w:t>
            </w:r>
            <w:r w:rsidR="00237895" w:rsidRPr="00237895">
              <w:rPr>
                <w:sz w:val="18"/>
                <w:szCs w:val="18"/>
              </w:rPr>
              <w:t xml:space="preserve"> Gopal </w:t>
            </w:r>
            <w:proofErr w:type="spellStart"/>
            <w:r w:rsidR="00237895" w:rsidRPr="00237895">
              <w:rPr>
                <w:sz w:val="18"/>
                <w:szCs w:val="18"/>
              </w:rPr>
              <w:t>K</w:t>
            </w:r>
            <w:r>
              <w:rPr>
                <w:sz w:val="18"/>
                <w:szCs w:val="18"/>
              </w:rPr>
              <w:t>afle</w:t>
            </w:r>
            <w:proofErr w:type="spellEnd"/>
          </w:p>
          <w:p w14:paraId="5D26ED37" w14:textId="77777777" w:rsidR="00237895" w:rsidRPr="00237895" w:rsidRDefault="00237895" w:rsidP="00237895">
            <w:pPr>
              <w:rPr>
                <w:rFonts w:ascii="Mangal" w:hAnsi="Mangal" w:cs="Kalimati"/>
                <w:b/>
                <w:bCs/>
                <w:sz w:val="18"/>
                <w:szCs w:val="18"/>
                <w:cs/>
                <w:lang w:bidi="ne-NP"/>
              </w:rPr>
            </w:pPr>
          </w:p>
        </w:tc>
      </w:tr>
    </w:tbl>
    <w:p w14:paraId="33502D91" w14:textId="77777777" w:rsidR="00237895" w:rsidRDefault="00237895" w:rsidP="00F1531B">
      <w:pPr>
        <w:pStyle w:val="ListParagraph"/>
        <w:tabs>
          <w:tab w:val="left" w:pos="0"/>
        </w:tabs>
        <w:spacing w:before="120" w:after="120" w:line="288" w:lineRule="auto"/>
        <w:contextualSpacing w:val="0"/>
        <w:jc w:val="both"/>
        <w:rPr>
          <w:rFonts w:ascii="Arial" w:hAnsi="Arial" w:cs="Arial"/>
          <w:sz w:val="22"/>
          <w:szCs w:val="22"/>
        </w:rPr>
      </w:pPr>
    </w:p>
    <w:p w14:paraId="21BF00BE" w14:textId="77777777" w:rsidR="00F1531B" w:rsidRDefault="00F1531B" w:rsidP="00F1531B">
      <w:pPr>
        <w:pStyle w:val="ListParagraph"/>
        <w:tabs>
          <w:tab w:val="left" w:pos="0"/>
        </w:tabs>
        <w:spacing w:before="120" w:after="120" w:line="288" w:lineRule="auto"/>
        <w:contextualSpacing w:val="0"/>
        <w:jc w:val="both"/>
        <w:rPr>
          <w:rFonts w:ascii="Arial" w:hAnsi="Arial" w:cs="Arial"/>
          <w:sz w:val="22"/>
          <w:szCs w:val="22"/>
        </w:rPr>
      </w:pPr>
    </w:p>
    <w:p w14:paraId="3B62360E" w14:textId="77777777" w:rsidR="00F1531B" w:rsidRPr="000C77F4" w:rsidRDefault="00F1531B" w:rsidP="000C77F4">
      <w:pPr>
        <w:tabs>
          <w:tab w:val="left" w:pos="0"/>
        </w:tabs>
        <w:spacing w:before="120" w:after="120" w:line="288" w:lineRule="auto"/>
        <w:jc w:val="both"/>
        <w:rPr>
          <w:rFonts w:ascii="Arial" w:hAnsi="Arial" w:cs="Arial"/>
          <w:szCs w:val="22"/>
        </w:rPr>
      </w:pPr>
    </w:p>
    <w:sectPr w:rsidR="00F1531B" w:rsidRPr="000C7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8A1A" w14:textId="77777777" w:rsidR="0060175C" w:rsidRDefault="0060175C" w:rsidP="0090446C">
      <w:pPr>
        <w:spacing w:after="0" w:line="240" w:lineRule="auto"/>
      </w:pPr>
      <w:r>
        <w:separator/>
      </w:r>
    </w:p>
  </w:endnote>
  <w:endnote w:type="continuationSeparator" w:id="0">
    <w:p w14:paraId="1C46D300" w14:textId="77777777" w:rsidR="0060175C" w:rsidRDefault="0060175C" w:rsidP="0090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Kalimati">
    <w:panose1 w:val="00000400000000000000"/>
    <w:charset w:val="01"/>
    <w:family w:val="auto"/>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4F422" w14:textId="77777777" w:rsidR="0060175C" w:rsidRDefault="0060175C" w:rsidP="0090446C">
      <w:pPr>
        <w:spacing w:after="0" w:line="240" w:lineRule="auto"/>
      </w:pPr>
      <w:r>
        <w:separator/>
      </w:r>
    </w:p>
  </w:footnote>
  <w:footnote w:type="continuationSeparator" w:id="0">
    <w:p w14:paraId="4F3D2E41" w14:textId="77777777" w:rsidR="0060175C" w:rsidRDefault="0060175C" w:rsidP="00904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E78"/>
    <w:multiLevelType w:val="hybridMultilevel"/>
    <w:tmpl w:val="9DBA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75504"/>
    <w:multiLevelType w:val="hybridMultilevel"/>
    <w:tmpl w:val="81481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8D3C23"/>
    <w:multiLevelType w:val="hybridMultilevel"/>
    <w:tmpl w:val="B2EA3DA6"/>
    <w:lvl w:ilvl="0" w:tplc="04090001">
      <w:start w:val="1"/>
      <w:numFmt w:val="bullet"/>
      <w:lvlText w:val=""/>
      <w:lvlJc w:val="left"/>
      <w:pPr>
        <w:ind w:left="720" w:hanging="360"/>
      </w:pPr>
      <w:rPr>
        <w:rFonts w:ascii="Symbol" w:hAnsi="Symbol" w:hint="default"/>
      </w:rPr>
    </w:lvl>
    <w:lvl w:ilvl="1" w:tplc="94947DD8">
      <w:start w:val="4"/>
      <w:numFmt w:val="bullet"/>
      <w:lvlText w:val="-"/>
      <w:lvlJc w:val="left"/>
      <w:pPr>
        <w:ind w:left="1476" w:hanging="396"/>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91585"/>
    <w:multiLevelType w:val="hybridMultilevel"/>
    <w:tmpl w:val="9DBA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25CB9"/>
    <w:multiLevelType w:val="hybridMultilevel"/>
    <w:tmpl w:val="9DBA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F5"/>
    <w:rsid w:val="000167F5"/>
    <w:rsid w:val="00033A73"/>
    <w:rsid w:val="000C77F4"/>
    <w:rsid w:val="00122D9D"/>
    <w:rsid w:val="00134E0A"/>
    <w:rsid w:val="00192CCF"/>
    <w:rsid w:val="00237895"/>
    <w:rsid w:val="002B7C09"/>
    <w:rsid w:val="003006BA"/>
    <w:rsid w:val="004A4C05"/>
    <w:rsid w:val="0060175C"/>
    <w:rsid w:val="0090446C"/>
    <w:rsid w:val="0094512F"/>
    <w:rsid w:val="009F7483"/>
    <w:rsid w:val="00A76723"/>
    <w:rsid w:val="00B014A8"/>
    <w:rsid w:val="00B27086"/>
    <w:rsid w:val="00D1239D"/>
    <w:rsid w:val="00D86067"/>
    <w:rsid w:val="00DE61BC"/>
    <w:rsid w:val="00E0514C"/>
    <w:rsid w:val="00E915CC"/>
    <w:rsid w:val="00F1531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463F"/>
  <w15:chartTrackingRefBased/>
  <w15:docId w15:val="{D713BDC1-6701-4CA5-9F8C-3558ADEA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E0A"/>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DE61BC"/>
    <w:pPr>
      <w:keepNext/>
      <w:keepLines/>
      <w:spacing w:before="40" w:after="0" w:line="276" w:lineRule="auto"/>
      <w:outlineLvl w:val="1"/>
    </w:pPr>
    <w:rPr>
      <w:rFonts w:ascii="Calibri Light" w:eastAsia="Times New Roman" w:hAnsi="Calibri Light" w:cs="Mangal"/>
      <w:color w:val="2E74B5"/>
      <w:sz w:val="26"/>
      <w:szCs w:val="26"/>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1BC"/>
    <w:rPr>
      <w:rFonts w:ascii="Calibri Light" w:eastAsia="Times New Roman" w:hAnsi="Calibri Light" w:cs="Mangal"/>
      <w:color w:val="2E74B5"/>
      <w:sz w:val="26"/>
      <w:szCs w:val="26"/>
      <w:lang w:val="en-GB" w:bidi="en-US"/>
    </w:rPr>
  </w:style>
  <w:style w:type="paragraph" w:styleId="Caption">
    <w:name w:val="caption"/>
    <w:aliases w:val="U-Beschriftung,Caption Char,Caption Char1,Caption Char Char1"/>
    <w:basedOn w:val="Normal"/>
    <w:next w:val="Normal"/>
    <w:link w:val="CaptionChar2"/>
    <w:uiPriority w:val="35"/>
    <w:unhideWhenUsed/>
    <w:qFormat/>
    <w:rsid w:val="00DE61BC"/>
    <w:pPr>
      <w:spacing w:after="200" w:line="240" w:lineRule="auto"/>
    </w:pPr>
    <w:rPr>
      <w:rFonts w:ascii="Calibri" w:eastAsia="Times New Roman" w:hAnsi="Calibri" w:cs="Mangal"/>
      <w:b/>
      <w:bCs/>
      <w:color w:val="4F81BD"/>
      <w:sz w:val="18"/>
      <w:szCs w:val="18"/>
      <w:lang w:val="en-GB"/>
    </w:rPr>
  </w:style>
  <w:style w:type="character" w:styleId="Hyperlink">
    <w:name w:val="Hyperlink"/>
    <w:uiPriority w:val="99"/>
    <w:rsid w:val="00DE61BC"/>
    <w:rPr>
      <w:rFonts w:cs="Times New Roman"/>
      <w:color w:val="8E58B6"/>
      <w:u w:val="single"/>
    </w:rPr>
  </w:style>
  <w:style w:type="character" w:customStyle="1" w:styleId="CaptionChar2">
    <w:name w:val="Caption Char2"/>
    <w:aliases w:val="U-Beschriftung Char,Caption Char Char,Caption Char1 Char,Caption Char Char1 Char"/>
    <w:link w:val="Caption"/>
    <w:uiPriority w:val="35"/>
    <w:rsid w:val="00DE61BC"/>
    <w:rPr>
      <w:rFonts w:ascii="Calibri" w:eastAsia="Times New Roman" w:hAnsi="Calibri" w:cs="Mangal"/>
      <w:b/>
      <w:bCs/>
      <w:color w:val="4F81BD"/>
      <w:sz w:val="18"/>
      <w:szCs w:val="18"/>
      <w:lang w:val="en-GB"/>
    </w:rPr>
  </w:style>
  <w:style w:type="paragraph" w:styleId="ListParagraph">
    <w:name w:val="List Paragraph"/>
    <w:aliases w:val="List Paragraph1,List Paragraph (numbered (a)),Bullets,Lapis Bulleted List,Dot pt,F5 List Paragraph,No Spacing1,List Paragraph Char Char Char,Indicator Text,Numbered Para 1,Bullet 1,List Paragraph12,Bullet Points,MAIN CONTENT,L,Heading,lp1"/>
    <w:basedOn w:val="Normal"/>
    <w:link w:val="ListParagraphChar"/>
    <w:uiPriority w:val="34"/>
    <w:qFormat/>
    <w:rsid w:val="00DE61BC"/>
    <w:pPr>
      <w:spacing w:after="200" w:line="276" w:lineRule="auto"/>
      <w:ind w:left="720"/>
      <w:contextualSpacing/>
    </w:pPr>
    <w:rPr>
      <w:rFonts w:ascii="Calibri" w:eastAsia="Times New Roman" w:hAnsi="Calibri" w:cs="Times New Roman"/>
      <w:sz w:val="20"/>
      <w:lang w:val="en-GB" w:bidi="en-US"/>
    </w:rPr>
  </w:style>
  <w:style w:type="character" w:customStyle="1" w:styleId="ListParagraphChar">
    <w:name w:val="List Paragraph Char"/>
    <w:aliases w:val="List Paragraph1 Char,List Paragraph (numbered (a)) Char,Bullets Char,Lapis Bulleted List Char,Dot pt Char,F5 List Paragraph Char,No Spacing1 Char,List Paragraph Char Char Char Char,Indicator Text Char,Numbered Para 1 Char,L Char"/>
    <w:link w:val="ListParagraph"/>
    <w:uiPriority w:val="34"/>
    <w:qFormat/>
    <w:locked/>
    <w:rsid w:val="00DE61BC"/>
    <w:rPr>
      <w:rFonts w:ascii="Calibri" w:eastAsia="Times New Roman" w:hAnsi="Calibri" w:cs="Times New Roman"/>
      <w:sz w:val="20"/>
      <w:lang w:val="en-GB" w:bidi="en-US"/>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Appel note de bas de page,Ref,fr,Re,d"/>
    <w:link w:val="CharCharCharCharCarChar"/>
    <w:uiPriority w:val="99"/>
    <w:qFormat/>
    <w:rsid w:val="0090446C"/>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0446C"/>
    <w:pPr>
      <w:spacing w:line="240" w:lineRule="exact"/>
      <w:jc w:val="both"/>
    </w:pPr>
    <w:rPr>
      <w:vertAlign w:val="superscript"/>
    </w:rPr>
  </w:style>
  <w:style w:type="paragraph" w:customStyle="1" w:styleId="Body">
    <w:name w:val="Body"/>
    <w:basedOn w:val="Normal"/>
    <w:qFormat/>
    <w:rsid w:val="0090446C"/>
    <w:pPr>
      <w:spacing w:before="100" w:after="0" w:line="276" w:lineRule="auto"/>
    </w:pPr>
    <w:rPr>
      <w:rFonts w:ascii="Calibri" w:eastAsia="MS Mincho" w:hAnsi="Calibri" w:cs="Arial"/>
      <w:sz w:val="20"/>
      <w:lang w:val="en-GB" w:eastAsia="sv-SE" w:bidi="en-US"/>
    </w:rPr>
  </w:style>
  <w:style w:type="character" w:customStyle="1" w:styleId="Heading1Char">
    <w:name w:val="Heading 1 Char"/>
    <w:basedOn w:val="DefaultParagraphFont"/>
    <w:link w:val="Heading1"/>
    <w:uiPriority w:val="9"/>
    <w:rsid w:val="00134E0A"/>
    <w:rPr>
      <w:rFonts w:asciiTheme="majorHAnsi" w:eastAsiaTheme="majorEastAsia" w:hAnsiTheme="majorHAnsi" w:cstheme="majorBidi"/>
      <w:color w:val="2F5496" w:themeColor="accent1" w:themeShade="BF"/>
      <w:sz w:val="32"/>
      <w:szCs w:val="29"/>
    </w:rPr>
  </w:style>
  <w:style w:type="paragraph" w:styleId="FootnoteText">
    <w:name w:val="footnote text"/>
    <w:aliases w:val="U-Fußnotentext,FOOTNOTES,fn,single space,Footnote Text Char1,Footnote Text Char Char,Char,Char Char,Char Char Char Char,Char Char Char Char Char Char,Char Char2,Char Char21,Char Char211,Footnote Text Char Char Char Char Char,Geneva 9, Char"/>
    <w:basedOn w:val="Normal"/>
    <w:link w:val="FootnoteTextChar"/>
    <w:uiPriority w:val="99"/>
    <w:qFormat/>
    <w:rsid w:val="00134E0A"/>
    <w:pPr>
      <w:spacing w:after="0" w:line="240" w:lineRule="auto"/>
      <w:jc w:val="both"/>
    </w:pPr>
    <w:rPr>
      <w:rFonts w:ascii="Calibri" w:eastAsia="Times New Roman" w:hAnsi="Calibri" w:cs="Mangal"/>
      <w:sz w:val="18"/>
      <w:lang w:val="fr-BE"/>
    </w:rPr>
  </w:style>
  <w:style w:type="character" w:customStyle="1" w:styleId="FootnoteTextChar">
    <w:name w:val="Footnote Text Char"/>
    <w:aliases w:val="U-Fußnotentext Char,FOOTNOTES Char,fn Char,single space Char,Footnote Text Char1 Char,Footnote Text Char Char Char,Char Char1,Char Char Char,Char Char Char Char Char,Char Char Char Char Char Char Char,Char Char2 Char,Char Char21 Char"/>
    <w:basedOn w:val="DefaultParagraphFont"/>
    <w:link w:val="FootnoteText"/>
    <w:uiPriority w:val="99"/>
    <w:rsid w:val="00134E0A"/>
    <w:rPr>
      <w:rFonts w:ascii="Calibri" w:eastAsia="Times New Roman" w:hAnsi="Calibri" w:cs="Mangal"/>
      <w:sz w:val="18"/>
      <w:lang w:val="fr-BE"/>
    </w:rPr>
  </w:style>
  <w:style w:type="table" w:styleId="TableGrid">
    <w:name w:val="Table Grid"/>
    <w:basedOn w:val="TableNormal"/>
    <w:uiPriority w:val="59"/>
    <w:rsid w:val="00F1531B"/>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enclimate.fund/project/fp1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brcrn.nepal@brcrn.gov.np%2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Office User</cp:lastModifiedBy>
  <cp:revision>14</cp:revision>
  <dcterms:created xsi:type="dcterms:W3CDTF">2021-07-01T14:26:00Z</dcterms:created>
  <dcterms:modified xsi:type="dcterms:W3CDTF">2021-07-08T13:10:00Z</dcterms:modified>
</cp:coreProperties>
</file>